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61F32" w14:textId="3DEB88A5" w:rsidR="009B2334" w:rsidRPr="009B2334" w:rsidRDefault="009B2334" w:rsidP="009B2334">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B2334">
        <w:rPr>
          <w:rFonts w:ascii="Segoe UI" w:eastAsia="Times New Roman" w:hAnsi="Segoe UI" w:cs="Segoe UI"/>
          <w:b/>
          <w:bCs/>
          <w:kern w:val="36"/>
          <w:sz w:val="48"/>
          <w:szCs w:val="48"/>
          <w14:ligatures w14:val="none"/>
        </w:rPr>
        <w:t>Lancet Series on Faith Partners as Essential to Successful Epidemic and Pandemic Preparedness, Prevention and Response</w:t>
      </w:r>
    </w:p>
    <w:p w14:paraId="35177863"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Background</w:t>
      </w:r>
    </w:p>
    <w:p w14:paraId="607242C8" w14:textId="51C0D108"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World Health Organization (WHO) launched its Faith Network in 2020 to strengthen engagement with faith partners during the COVID-19 pandemic and beyond.</w:t>
      </w:r>
      <w:r w:rsidR="001C23C3">
        <w:rPr>
          <w:rStyle w:val="FootnoteReference"/>
          <w:rFonts w:ascii="Segoe UI" w:eastAsia="Times New Roman" w:hAnsi="Segoe UI" w:cs="Segoe UI"/>
          <w:kern w:val="0"/>
          <w:sz w:val="21"/>
          <w:szCs w:val="21"/>
          <w14:ligatures w14:val="none"/>
        </w:rPr>
        <w:footnoteReference w:id="1"/>
      </w:r>
      <w:r w:rsidRPr="009B2334">
        <w:rPr>
          <w:rFonts w:ascii="Segoe UI" w:eastAsia="Times New Roman" w:hAnsi="Segoe UI" w:cs="Segoe UI"/>
          <w:kern w:val="0"/>
          <w:sz w:val="21"/>
          <w:szCs w:val="21"/>
          <w14:ligatures w14:val="none"/>
        </w:rPr>
        <w:t xml:space="preserve"> The Network, which brings together WHO staff, academics, and faith-based practitioners, has already delivered two key milestones: publication of the </w:t>
      </w:r>
      <w:r w:rsidRPr="009B2334">
        <w:rPr>
          <w:rFonts w:ascii="Segoe UI" w:eastAsia="Times New Roman" w:hAnsi="Segoe UI" w:cs="Segoe UI"/>
          <w:i/>
          <w:iCs/>
          <w:kern w:val="0"/>
          <w:sz w:val="21"/>
          <w:szCs w:val="21"/>
          <w14:ligatures w14:val="none"/>
        </w:rPr>
        <w:t>WHO Strategy for Engaging Religious Leaders, Faith-Based Organizations and Faith Communities in Health Emergencies</w:t>
      </w:r>
      <w:r w:rsidR="001C23C3">
        <w:rPr>
          <w:rFonts w:ascii="Segoe UI" w:eastAsia="Times New Roman" w:hAnsi="Segoe UI" w:cs="Segoe UI"/>
          <w:kern w:val="0"/>
          <w:sz w:val="21"/>
          <w:szCs w:val="21"/>
          <w14:ligatures w14:val="none"/>
        </w:rPr>
        <w:t>,</w:t>
      </w:r>
      <w:r w:rsidR="001C23C3">
        <w:rPr>
          <w:rStyle w:val="FootnoteReference"/>
          <w:rFonts w:ascii="Segoe UI" w:eastAsia="Times New Roman" w:hAnsi="Segoe UI" w:cs="Segoe UI"/>
          <w:kern w:val="0"/>
          <w:sz w:val="21"/>
          <w:szCs w:val="21"/>
          <w14:ligatures w14:val="none"/>
        </w:rPr>
        <w:footnoteReference w:id="2"/>
      </w:r>
      <w:r w:rsidRPr="009B2334">
        <w:rPr>
          <w:rFonts w:ascii="Segoe UI" w:eastAsia="Times New Roman" w:hAnsi="Segoe UI" w:cs="Segoe UI"/>
          <w:kern w:val="0"/>
          <w:sz w:val="21"/>
          <w:szCs w:val="21"/>
          <w14:ligatures w14:val="none"/>
        </w:rPr>
        <w:t xml:space="preserve"> and a global virtual conference on </w:t>
      </w:r>
      <w:r w:rsidRPr="009B2334">
        <w:rPr>
          <w:rFonts w:ascii="Segoe UI" w:eastAsia="Times New Roman" w:hAnsi="Segoe UI" w:cs="Segoe UI"/>
          <w:i/>
          <w:iCs/>
          <w:kern w:val="0"/>
          <w:sz w:val="21"/>
          <w:szCs w:val="21"/>
          <w14:ligatures w14:val="none"/>
        </w:rPr>
        <w:t>Strengthening National Responses to Health Emergencies: WHO, Religious Leaders, Faith-Based Organizations, Faith Communities, and National Governments</w:t>
      </w:r>
      <w:r w:rsidRPr="009B2334">
        <w:rPr>
          <w:rFonts w:ascii="Segoe UI" w:eastAsia="Times New Roman" w:hAnsi="Segoe UI" w:cs="Segoe UI"/>
          <w:kern w:val="0"/>
          <w:sz w:val="21"/>
          <w:szCs w:val="21"/>
          <w14:ligatures w14:val="none"/>
        </w:rPr>
        <w:t>.</w:t>
      </w:r>
      <w:r w:rsidR="001C23C3">
        <w:rPr>
          <w:rStyle w:val="FootnoteReference"/>
          <w:rFonts w:ascii="Segoe UI" w:eastAsia="Times New Roman" w:hAnsi="Segoe UI" w:cs="Segoe UI"/>
          <w:kern w:val="0"/>
          <w:sz w:val="21"/>
          <w:szCs w:val="21"/>
          <w14:ligatures w14:val="none"/>
        </w:rPr>
        <w:footnoteReference w:id="3"/>
      </w:r>
    </w:p>
    <w:p w14:paraId="1A78E42D" w14:textId="7D1E22C9"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The importance of these milestones was further underscored in 2023, when WHO Director-General Dr Tedros Adhanom Ghebreyesus requested the establishment of a Faith Commission to embed this work more fully across WHO structures. </w:t>
      </w:r>
      <w:r w:rsidRPr="001C23C3">
        <w:rPr>
          <w:rFonts w:ascii="Segoe UI" w:eastAsia="Times New Roman" w:hAnsi="Segoe UI" w:cs="Segoe UI"/>
          <w:kern w:val="0"/>
          <w:sz w:val="21"/>
          <w:szCs w:val="21"/>
          <w14:ligatures w14:val="none"/>
        </w:rPr>
        <w:t xml:space="preserve">The Commission is envisaged to be accompanied by </w:t>
      </w:r>
      <w:r w:rsidR="00F52232">
        <w:rPr>
          <w:rFonts w:ascii="Segoe UI" w:eastAsia="Times New Roman" w:hAnsi="Segoe UI" w:cs="Segoe UI"/>
          <w:kern w:val="0"/>
          <w:sz w:val="21"/>
          <w:szCs w:val="21"/>
          <w14:ligatures w14:val="none"/>
        </w:rPr>
        <w:t xml:space="preserve">a new </w:t>
      </w:r>
      <w:r w:rsidRPr="00F52232">
        <w:rPr>
          <w:rFonts w:ascii="Segoe UI" w:eastAsia="Times New Roman" w:hAnsi="Segoe UI" w:cs="Segoe UI"/>
          <w:i/>
          <w:iCs/>
          <w:kern w:val="0"/>
          <w:sz w:val="21"/>
          <w:szCs w:val="21"/>
          <w14:ligatures w14:val="none"/>
        </w:rPr>
        <w:t xml:space="preserve">Lancet </w:t>
      </w:r>
      <w:r w:rsidRPr="00F52232">
        <w:rPr>
          <w:rFonts w:ascii="Segoe UI" w:eastAsia="Times New Roman" w:hAnsi="Segoe UI" w:cs="Segoe UI"/>
          <w:kern w:val="0"/>
          <w:sz w:val="21"/>
          <w:szCs w:val="21"/>
          <w14:ligatures w14:val="none"/>
        </w:rPr>
        <w:t xml:space="preserve">Series </w:t>
      </w:r>
      <w:r w:rsidRPr="001C23C3">
        <w:rPr>
          <w:rFonts w:ascii="Segoe UI" w:eastAsia="Times New Roman" w:hAnsi="Segoe UI" w:cs="Segoe UI"/>
          <w:kern w:val="0"/>
          <w:sz w:val="21"/>
          <w:szCs w:val="21"/>
          <w14:ligatures w14:val="none"/>
        </w:rPr>
        <w:t xml:space="preserve">on </w:t>
      </w:r>
      <w:r w:rsidRPr="00F52232">
        <w:rPr>
          <w:rFonts w:ascii="Segoe UI" w:eastAsia="Times New Roman" w:hAnsi="Segoe UI" w:cs="Segoe UI"/>
          <w:i/>
          <w:iCs/>
          <w:kern w:val="0"/>
          <w:sz w:val="21"/>
          <w:szCs w:val="21"/>
          <w14:ligatures w14:val="none"/>
        </w:rPr>
        <w:t>Faith Partners as Essential to Successful Epidemic and Pandemic Preparedness, Prevention and Response</w:t>
      </w:r>
      <w:r w:rsidRPr="001C23C3">
        <w:rPr>
          <w:rFonts w:ascii="Segoe UI" w:eastAsia="Times New Roman" w:hAnsi="Segoe UI" w:cs="Segoe UI"/>
          <w:kern w:val="0"/>
          <w:sz w:val="21"/>
          <w:szCs w:val="21"/>
          <w14:ligatures w14:val="none"/>
        </w:rPr>
        <w:t>,</w:t>
      </w:r>
      <w:r w:rsidRPr="009B2334">
        <w:rPr>
          <w:rFonts w:ascii="Segoe UI" w:eastAsia="Times New Roman" w:hAnsi="Segoe UI" w:cs="Segoe UI"/>
          <w:kern w:val="0"/>
          <w:sz w:val="21"/>
          <w:szCs w:val="21"/>
          <w14:ligatures w14:val="none"/>
        </w:rPr>
        <w:t xml:space="preserve"> building on the 2015 </w:t>
      </w:r>
      <w:r w:rsidRPr="009B2334">
        <w:rPr>
          <w:rFonts w:ascii="Segoe UI" w:eastAsia="Times New Roman" w:hAnsi="Segoe UI" w:cs="Segoe UI"/>
          <w:i/>
          <w:iCs/>
          <w:kern w:val="0"/>
          <w:sz w:val="21"/>
          <w:szCs w:val="21"/>
          <w14:ligatures w14:val="none"/>
        </w:rPr>
        <w:t>Lancet</w:t>
      </w:r>
      <w:r w:rsidRPr="009B2334">
        <w:rPr>
          <w:rFonts w:ascii="Segoe UI" w:eastAsia="Times New Roman" w:hAnsi="Segoe UI" w:cs="Segoe UI"/>
          <w:kern w:val="0"/>
          <w:sz w:val="21"/>
          <w:szCs w:val="21"/>
          <w14:ligatures w14:val="none"/>
        </w:rPr>
        <w:t xml:space="preserve"> Series on </w:t>
      </w:r>
      <w:r w:rsidR="00F52232" w:rsidRPr="00F52232">
        <w:rPr>
          <w:rFonts w:ascii="Segoe UI" w:eastAsia="Times New Roman" w:hAnsi="Segoe UI" w:cs="Segoe UI"/>
          <w:i/>
          <w:iCs/>
          <w:kern w:val="0"/>
          <w:sz w:val="21"/>
          <w:szCs w:val="21"/>
          <w14:ligatures w14:val="none"/>
        </w:rPr>
        <w:t>F</w:t>
      </w:r>
      <w:r w:rsidRPr="00F52232">
        <w:rPr>
          <w:rFonts w:ascii="Segoe UI" w:eastAsia="Times New Roman" w:hAnsi="Segoe UI" w:cs="Segoe UI"/>
          <w:i/>
          <w:iCs/>
          <w:kern w:val="0"/>
          <w:sz w:val="21"/>
          <w:szCs w:val="21"/>
          <w14:ligatures w14:val="none"/>
        </w:rPr>
        <w:t xml:space="preserve">aith-based </w:t>
      </w:r>
      <w:r w:rsidR="00F52232" w:rsidRPr="00F52232">
        <w:rPr>
          <w:rFonts w:ascii="Segoe UI" w:eastAsia="Times New Roman" w:hAnsi="Segoe UI" w:cs="Segoe UI"/>
          <w:i/>
          <w:iCs/>
          <w:kern w:val="0"/>
          <w:sz w:val="21"/>
          <w:szCs w:val="21"/>
          <w14:ligatures w14:val="none"/>
        </w:rPr>
        <w:t>H</w:t>
      </w:r>
      <w:r w:rsidRPr="00F52232">
        <w:rPr>
          <w:rFonts w:ascii="Segoe UI" w:eastAsia="Times New Roman" w:hAnsi="Segoe UI" w:cs="Segoe UI"/>
          <w:i/>
          <w:iCs/>
          <w:kern w:val="0"/>
          <w:sz w:val="21"/>
          <w:szCs w:val="21"/>
          <w14:ligatures w14:val="none"/>
        </w:rPr>
        <w:t xml:space="preserve">ealth </w:t>
      </w:r>
      <w:r w:rsidR="00F52232" w:rsidRPr="00F52232">
        <w:rPr>
          <w:rFonts w:ascii="Segoe UI" w:eastAsia="Times New Roman" w:hAnsi="Segoe UI" w:cs="Segoe UI"/>
          <w:i/>
          <w:iCs/>
          <w:kern w:val="0"/>
          <w:sz w:val="21"/>
          <w:szCs w:val="21"/>
          <w14:ligatures w14:val="none"/>
        </w:rPr>
        <w:t>C</w:t>
      </w:r>
      <w:r w:rsidRPr="00F52232">
        <w:rPr>
          <w:rFonts w:ascii="Segoe UI" w:eastAsia="Times New Roman" w:hAnsi="Segoe UI" w:cs="Segoe UI"/>
          <w:i/>
          <w:iCs/>
          <w:kern w:val="0"/>
          <w:sz w:val="21"/>
          <w:szCs w:val="21"/>
          <w14:ligatures w14:val="none"/>
        </w:rPr>
        <w:t>are</w:t>
      </w:r>
      <w:r w:rsidR="001C23C3">
        <w:rPr>
          <w:rFonts w:ascii="Segoe UI" w:eastAsia="Times New Roman" w:hAnsi="Segoe UI" w:cs="Segoe UI"/>
          <w:kern w:val="0"/>
          <w:sz w:val="21"/>
          <w:szCs w:val="21"/>
          <w14:ligatures w14:val="none"/>
        </w:rPr>
        <w:t>.</w:t>
      </w:r>
      <w:r w:rsidR="001C23C3">
        <w:rPr>
          <w:rStyle w:val="FootnoteReference"/>
          <w:rFonts w:ascii="Segoe UI" w:eastAsia="Times New Roman" w:hAnsi="Segoe UI" w:cs="Segoe UI"/>
          <w:kern w:val="0"/>
          <w:sz w:val="21"/>
          <w:szCs w:val="21"/>
          <w14:ligatures w14:val="none"/>
        </w:rPr>
        <w:footnoteReference w:id="4"/>
      </w:r>
    </w:p>
    <w:p w14:paraId="2AD64CF1" w14:textId="1050858D"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w:t>
      </w:r>
      <w:r w:rsidR="00F52232">
        <w:rPr>
          <w:rFonts w:ascii="Segoe UI" w:eastAsia="Times New Roman" w:hAnsi="Segoe UI" w:cs="Segoe UI"/>
          <w:kern w:val="0"/>
          <w:sz w:val="21"/>
          <w:szCs w:val="21"/>
          <w14:ligatures w14:val="none"/>
        </w:rPr>
        <w:t xml:space="preserve"> new </w:t>
      </w:r>
      <w:r w:rsidR="00F52232" w:rsidRPr="00F52232">
        <w:rPr>
          <w:rFonts w:ascii="Segoe UI" w:eastAsia="Times New Roman" w:hAnsi="Segoe UI" w:cs="Segoe UI"/>
          <w:i/>
          <w:iCs/>
          <w:kern w:val="0"/>
          <w:sz w:val="21"/>
          <w:szCs w:val="21"/>
          <w14:ligatures w14:val="none"/>
        </w:rPr>
        <w:t>Lancet</w:t>
      </w:r>
      <w:r w:rsidRPr="009B2334">
        <w:rPr>
          <w:rFonts w:ascii="Segoe UI" w:eastAsia="Times New Roman" w:hAnsi="Segoe UI" w:cs="Segoe UI"/>
          <w:kern w:val="0"/>
          <w:sz w:val="21"/>
          <w:szCs w:val="21"/>
          <w14:ligatures w14:val="none"/>
        </w:rPr>
        <w:t xml:space="preserve"> Series is </w:t>
      </w:r>
      <w:r w:rsidR="00F52232">
        <w:rPr>
          <w:rFonts w:ascii="Segoe UI" w:eastAsia="Times New Roman" w:hAnsi="Segoe UI" w:cs="Segoe UI"/>
          <w:kern w:val="0"/>
          <w:sz w:val="21"/>
          <w:szCs w:val="21"/>
          <w14:ligatures w14:val="none"/>
        </w:rPr>
        <w:t xml:space="preserve">to be </w:t>
      </w:r>
      <w:r w:rsidRPr="009B2334">
        <w:rPr>
          <w:rFonts w:ascii="Segoe UI" w:eastAsia="Times New Roman" w:hAnsi="Segoe UI" w:cs="Segoe UI"/>
          <w:kern w:val="0"/>
          <w:sz w:val="21"/>
          <w:szCs w:val="21"/>
          <w14:ligatures w14:val="none"/>
        </w:rPr>
        <w:t>published as the international community approaches the 50th anniversary of the Alma-Ata Declaration, the 1978 commitment to “Health for All” through multisectoral collaboration and community participation. It is hoped that this Series, and the subsequent WHO Commission, will contribute to international recognition of that anniversary and help establish a renewed agenda for partnership between public health and the faith system, addressing the historical divide set out below.</w:t>
      </w:r>
      <w:r w:rsidR="001C23C3">
        <w:rPr>
          <w:rStyle w:val="FootnoteReference"/>
          <w:rFonts w:ascii="Segoe UI" w:eastAsia="Times New Roman" w:hAnsi="Segoe UI" w:cs="Segoe UI"/>
          <w:kern w:val="0"/>
          <w:sz w:val="21"/>
          <w:szCs w:val="21"/>
          <w14:ligatures w14:val="none"/>
        </w:rPr>
        <w:footnoteReference w:id="5"/>
      </w:r>
    </w:p>
    <w:p w14:paraId="7A529509"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Problem Statement</w:t>
      </w:r>
    </w:p>
    <w:p w14:paraId="4D2C7228"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There is significant distrust and distance between secular public health structures and those of the faith system, at a global level and within some countries. Much of this stems from a lack of mutual </w:t>
      </w:r>
      <w:r w:rsidRPr="009B2334">
        <w:rPr>
          <w:rFonts w:ascii="Segoe UI" w:eastAsia="Times New Roman" w:hAnsi="Segoe UI" w:cs="Segoe UI"/>
          <w:kern w:val="0"/>
          <w:sz w:val="21"/>
          <w:szCs w:val="21"/>
          <w14:ligatures w14:val="none"/>
        </w:rPr>
        <w:lastRenderedPageBreak/>
        <w:t>understanding. The two sectors have tended to operate within different frameworks, languages and evidence norms, compounded by a longer-standing historical misalignment between faith and science that predates the modern public health era.</w:t>
      </w:r>
    </w:p>
    <w:p w14:paraId="3D2433FC" w14:textId="0FE5FABC"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This dynamic has shaped public health partnerships since the 1970s and continues to limit the effectiveness of work in epidemic and pandemic preparedness, prevention and response; the development of strong partnerships between WHO, national governments and faith </w:t>
      </w:r>
      <w:r w:rsidR="001B2AE3">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health and community systems strengthening; and universal health coverage (UHC).</w:t>
      </w:r>
    </w:p>
    <w:p w14:paraId="30EB2104"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WHO Faith Commission Message</w:t>
      </w:r>
    </w:p>
    <w:p w14:paraId="475E6175" w14:textId="04D0BB25"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Effective engagement with faith partners is essential, not optional, to successful epidemic and pandemic preparedness, prevention and response;</w:t>
      </w:r>
      <w:r w:rsidR="00AE0200">
        <w:rPr>
          <w:rFonts w:ascii="Segoe UI" w:eastAsia="Times New Roman" w:hAnsi="Segoe UI" w:cs="Segoe UI"/>
          <w:kern w:val="0"/>
          <w:sz w:val="21"/>
          <w:szCs w:val="21"/>
          <w14:ligatures w14:val="none"/>
        </w:rPr>
        <w:t xml:space="preserve"> including</w:t>
      </w:r>
      <w:r w:rsidRPr="009B2334">
        <w:rPr>
          <w:rFonts w:ascii="Segoe UI" w:eastAsia="Times New Roman" w:hAnsi="Segoe UI" w:cs="Segoe UI"/>
          <w:kern w:val="0"/>
          <w:sz w:val="21"/>
          <w:szCs w:val="21"/>
          <w14:ligatures w14:val="none"/>
        </w:rPr>
        <w:t xml:space="preserve"> the development of strong partnerships between WHO, national governments and faith </w:t>
      </w:r>
      <w:r w:rsidR="001B2AE3">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health and community systems strengthening; and UHC.</w:t>
      </w:r>
    </w:p>
    <w:p w14:paraId="0ACD9887"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The New Idea</w:t>
      </w:r>
    </w:p>
    <w:p w14:paraId="0C61306A" w14:textId="4D6F3465"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It is time for the most influential bodies and actors in global public health to re-evaluate their engagement with the faith system in light of current realities and evidence, in the same way they would consider and engage with other complex systems, such as political systems or the private sector,</w:t>
      </w:r>
      <w:r w:rsidR="001C23C3">
        <w:rPr>
          <w:rStyle w:val="FootnoteReference"/>
          <w:rFonts w:ascii="Segoe UI" w:eastAsia="Times New Roman" w:hAnsi="Segoe UI" w:cs="Segoe UI"/>
          <w:kern w:val="0"/>
          <w:sz w:val="21"/>
          <w:szCs w:val="21"/>
          <w14:ligatures w14:val="none"/>
        </w:rPr>
        <w:footnoteReference w:id="6"/>
      </w:r>
      <w:r w:rsidR="00FA5FED">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where appropriate collaborative agreements, checks and balances are put in place to guide such partnerships.</w:t>
      </w:r>
    </w:p>
    <w:p w14:paraId="078AFCEC"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 reframing of the discourse, and the documentation of the evidence behind it, has profound implications for planning, preparedness and response to multiple crises, most of which include a health dimension.</w:t>
      </w:r>
    </w:p>
    <w:p w14:paraId="7A1595DD"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Why?</w:t>
      </w:r>
    </w:p>
    <w:p w14:paraId="29233EF7" w14:textId="56A81A6F"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Faith </w:t>
      </w:r>
      <w:r w:rsidR="007004BD">
        <w:rPr>
          <w:rFonts w:ascii="Segoe UI" w:eastAsia="Times New Roman" w:hAnsi="Segoe UI" w:cs="Segoe UI"/>
          <w:kern w:val="0"/>
          <w:sz w:val="21"/>
          <w:szCs w:val="21"/>
          <w14:ligatures w14:val="none"/>
        </w:rPr>
        <w:t>partners</w:t>
      </w:r>
      <w:r w:rsidR="006612E3">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are part of complex and sophisticated social, political and religious systems. They have extensive health and educational infrastructure at global, regional, national, district and local levels, with a long history of work in health care and education.</w:t>
      </w:r>
    </w:p>
    <w:p w14:paraId="483350FD" w14:textId="669DE3BC"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Not all religious influence is positive. Faith </w:t>
      </w:r>
      <w:r w:rsidR="00EC4A01">
        <w:rPr>
          <w:rFonts w:ascii="Segoe UI" w:eastAsia="Times New Roman" w:hAnsi="Segoe UI" w:cs="Segoe UI"/>
          <w:kern w:val="0"/>
          <w:sz w:val="21"/>
          <w:szCs w:val="21"/>
          <w14:ligatures w14:val="none"/>
        </w:rPr>
        <w:t xml:space="preserve">actors </w:t>
      </w:r>
      <w:r w:rsidRPr="009B2334">
        <w:rPr>
          <w:rFonts w:ascii="Segoe UI" w:eastAsia="Times New Roman" w:hAnsi="Segoe UI" w:cs="Segoe UI"/>
          <w:kern w:val="0"/>
          <w:sz w:val="21"/>
          <w:szCs w:val="21"/>
          <w14:ligatures w14:val="none"/>
        </w:rPr>
        <w:t>and institutions have, at times, contributed to the politici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 of public health responses, spread misinformation, or acted as sites of disease transmission. This is precisely why structured, evidence-based engagement, rather than uncritical partnership, is needed.</w:t>
      </w:r>
    </w:p>
    <w:p w14:paraId="73B6C9C8"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lastRenderedPageBreak/>
        <w:t>Research Questions</w:t>
      </w:r>
    </w:p>
    <w:p w14:paraId="4667EF9F" w14:textId="6E854478" w:rsidR="009B2334" w:rsidRPr="009B2334" w:rsidRDefault="009B2334" w:rsidP="009B233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How can WHO, national ministries and global health actors better engage with faith </w:t>
      </w:r>
      <w:r w:rsidR="00C93221">
        <w:rPr>
          <w:rFonts w:ascii="Segoe UI" w:eastAsia="Times New Roman" w:hAnsi="Segoe UI" w:cs="Segoe UI"/>
          <w:kern w:val="0"/>
          <w:sz w:val="21"/>
          <w:szCs w:val="21"/>
          <w14:ligatures w14:val="none"/>
        </w:rPr>
        <w:t>partners</w:t>
      </w:r>
      <w:r w:rsidR="00C93221" w:rsidRPr="009B2334" w:rsidDel="00C93221">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to ensure effective epidemic and pandemic preparedness, prevention and response?</w:t>
      </w:r>
    </w:p>
    <w:p w14:paraId="1C608B3E" w14:textId="77777777" w:rsidR="009B2334" w:rsidRPr="009B2334" w:rsidRDefault="009B2334" w:rsidP="009B233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steps are needed to transition from ad hoc engagement to a systems-level approach?</w:t>
      </w:r>
    </w:p>
    <w:p w14:paraId="3ECA9341" w14:textId="77777777" w:rsidR="009B2334" w:rsidRPr="009B2334" w:rsidRDefault="009B2334" w:rsidP="009B233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kinds of evidence are needed to inform and support this shift?</w:t>
      </w:r>
    </w:p>
    <w:p w14:paraId="7C7FF442"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Intended Impact</w:t>
      </w:r>
    </w:p>
    <w:p w14:paraId="53CA8B66"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That it becomes normative for countries and international public health institutions to build equitable partnerships with the faith system in a way that is commensurate with its influence and the trust placed in it.</w:t>
      </w:r>
    </w:p>
    <w:p w14:paraId="1C52B8F9" w14:textId="77777777" w:rsidR="009B2334" w:rsidRPr="009B2334" w:rsidRDefault="009B2334" w:rsidP="009B2334">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B2334">
        <w:rPr>
          <w:rFonts w:ascii="Segoe UI" w:eastAsia="Times New Roman" w:hAnsi="Segoe UI" w:cs="Segoe UI"/>
          <w:b/>
          <w:bCs/>
          <w:kern w:val="36"/>
          <w:sz w:val="48"/>
          <w:szCs w:val="48"/>
          <w14:ligatures w14:val="none"/>
        </w:rPr>
        <w:t>Lancet Series Articles</w:t>
      </w:r>
    </w:p>
    <w:p w14:paraId="2C8EF808"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1: Documenting and Identifying Faith-System Engagement and Collaboration in Epidemic and Pandemic Preparedness, Prevention and Response</w:t>
      </w:r>
    </w:p>
    <w:p w14:paraId="03CE2101"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15D4CB87" w14:textId="616F2120"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This paper will document evidence of faith-system engagement in past and present epidemic and pandemic preparedness, prevention and response, with particular attention to partnerships </w:t>
      </w:r>
      <w:r w:rsidR="007C587D">
        <w:rPr>
          <w:rFonts w:ascii="Segoe UI" w:eastAsia="Times New Roman" w:hAnsi="Segoe UI" w:cs="Segoe UI"/>
          <w:kern w:val="0"/>
          <w:sz w:val="21"/>
          <w:szCs w:val="21"/>
          <w14:ligatures w14:val="none"/>
        </w:rPr>
        <w:t>between</w:t>
      </w:r>
      <w:r w:rsidR="00A8107F">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faith</w:t>
      </w:r>
      <w:r w:rsidR="00B96AB8">
        <w:rPr>
          <w:rFonts w:ascii="Segoe UI" w:eastAsia="Times New Roman" w:hAnsi="Segoe UI" w:cs="Segoe UI"/>
          <w:kern w:val="0"/>
          <w:sz w:val="21"/>
          <w:szCs w:val="21"/>
          <w14:ligatures w14:val="none"/>
        </w:rPr>
        <w:t xml:space="preserve"> </w:t>
      </w:r>
      <w:r w:rsidR="00C93221">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communities, national governments and global health actors such as WHO. As part of this work, the research group will</w:t>
      </w:r>
      <w:r w:rsidR="00EE3AEF">
        <w:rPr>
          <w:rFonts w:ascii="Segoe UI" w:eastAsia="Times New Roman" w:hAnsi="Segoe UI" w:cs="Segoe UI"/>
          <w:kern w:val="0"/>
          <w:sz w:val="21"/>
          <w:szCs w:val="21"/>
          <w14:ligatures w14:val="none"/>
        </w:rPr>
        <w:t xml:space="preserve"> </w:t>
      </w:r>
      <w:r w:rsidR="00FD50E7">
        <w:rPr>
          <w:rFonts w:ascii="Calibri" w:hAnsi="Calibri" w:cs="Calibri"/>
        </w:rPr>
        <w:t xml:space="preserve">illustrate </w:t>
      </w:r>
      <w:r w:rsidR="00EE3AEF">
        <w:rPr>
          <w:rFonts w:ascii="Calibri" w:hAnsi="Calibri" w:cs="Calibri"/>
        </w:rPr>
        <w:t>and document the faith sector</w:t>
      </w:r>
      <w:r w:rsidR="009D436B">
        <w:rPr>
          <w:rFonts w:ascii="Calibri" w:hAnsi="Calibri" w:cs="Calibri"/>
        </w:rPr>
        <w:t xml:space="preserve"> as a working concept: </w:t>
      </w:r>
      <w:r w:rsidR="00EE3AEF">
        <w:rPr>
          <w:rFonts w:ascii="Calibri" w:hAnsi="Calibri" w:cs="Calibri"/>
        </w:rPr>
        <w:t xml:space="preserve">a complex </w:t>
      </w:r>
      <w:r w:rsidR="00EE3AEF" w:rsidRPr="003E71A8">
        <w:rPr>
          <w:rFonts w:ascii="Calibri" w:hAnsi="Calibri" w:cs="Calibri"/>
        </w:rPr>
        <w:t>social and political system as well as a religious syste</w:t>
      </w:r>
      <w:r w:rsidR="00EE3AEF">
        <w:rPr>
          <w:rFonts w:ascii="Calibri" w:hAnsi="Calibri" w:cs="Calibri"/>
        </w:rPr>
        <w:t>m</w:t>
      </w:r>
      <w:r w:rsidRPr="009B2334">
        <w:rPr>
          <w:rFonts w:ascii="Segoe UI" w:eastAsia="Times New Roman" w:hAnsi="Segoe UI" w:cs="Segoe UI"/>
          <w:kern w:val="0"/>
          <w:sz w:val="21"/>
          <w:szCs w:val="21"/>
          <w14:ligatures w14:val="none"/>
        </w:rPr>
        <w:t xml:space="preserve"> and refine this definition as the review progresses.</w:t>
      </w:r>
    </w:p>
    <w:p w14:paraId="1F90BB4F"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Unlike the other papers in this series, which involve original research, this paper will present the state of the field through a synthesis of published and grey literature.</w:t>
      </w:r>
    </w:p>
    <w:p w14:paraId="0E6E8132" w14:textId="4A94AEF0"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review may examine evidence on the faith system as a complex social, political and religious system,</w:t>
      </w:r>
      <w:r w:rsidR="002D7E9B" w:rsidRPr="002D7E9B">
        <w:rPr>
          <w:rFonts w:ascii="Calibri" w:hAnsi="Calibri" w:cs="Calibri"/>
          <w:color w:val="000000"/>
          <w:bdr w:val="none" w:sz="0" w:space="0" w:color="auto" w:frame="1"/>
        </w:rPr>
        <w:t xml:space="preserve"> </w:t>
      </w:r>
      <w:r w:rsidR="002D7E9B" w:rsidRPr="001C23C3">
        <w:rPr>
          <w:rFonts w:ascii="Segoe UI" w:eastAsia="Times New Roman" w:hAnsi="Segoe UI" w:cs="Segoe UI"/>
          <w:kern w:val="0"/>
          <w:sz w:val="21"/>
          <w:szCs w:val="21"/>
          <w14:ligatures w14:val="none"/>
        </w:rPr>
        <w:t xml:space="preserve">including the extent to which faith </w:t>
      </w:r>
      <w:r w:rsidR="00C93221">
        <w:rPr>
          <w:rFonts w:ascii="Segoe UI" w:eastAsia="Times New Roman" w:hAnsi="Segoe UI" w:cs="Segoe UI"/>
          <w:kern w:val="0"/>
          <w:sz w:val="21"/>
          <w:szCs w:val="21"/>
          <w14:ligatures w14:val="none"/>
        </w:rPr>
        <w:t>partners</w:t>
      </w:r>
      <w:r w:rsidR="004A6CD1">
        <w:rPr>
          <w:rFonts w:ascii="Segoe UI" w:eastAsia="Times New Roman" w:hAnsi="Segoe UI" w:cs="Segoe UI"/>
          <w:kern w:val="0"/>
          <w:sz w:val="21"/>
          <w:szCs w:val="21"/>
          <w14:ligatures w14:val="none"/>
        </w:rPr>
        <w:t xml:space="preserve"> </w:t>
      </w:r>
      <w:r w:rsidR="002D7E9B" w:rsidRPr="001C23C3">
        <w:rPr>
          <w:rFonts w:ascii="Segoe UI" w:eastAsia="Times New Roman" w:hAnsi="Segoe UI" w:cs="Segoe UI"/>
          <w:kern w:val="0"/>
          <w:sz w:val="21"/>
          <w:szCs w:val="21"/>
          <w14:ligatures w14:val="none"/>
        </w:rPr>
        <w:t>own, run, and manage that infrastructure, and the depth of its history of partnership with national governments and other stakeholders in service delivery</w:t>
      </w:r>
      <w:r w:rsidRPr="001C23C3">
        <w:rPr>
          <w:rFonts w:ascii="Segoe UI" w:eastAsia="Times New Roman" w:hAnsi="Segoe UI" w:cs="Segoe UI"/>
          <w:kern w:val="0"/>
          <w:sz w:val="21"/>
          <w:szCs w:val="21"/>
          <w14:ligatures w14:val="none"/>
        </w:rPr>
        <w:t>.</w:t>
      </w:r>
    </w:p>
    <w:p w14:paraId="405F172F" w14:textId="01D89852"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review may also identify and document theoretical and conceptual frameworks, including systems theory and seculari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 theory, that have been used to study this field.</w:t>
      </w:r>
    </w:p>
    <w:p w14:paraId="1B092C82" w14:textId="45080FB8"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 xml:space="preserve">The review may also document challenges and negative dynamics associated with faith engagement, including instances where faith </w:t>
      </w:r>
      <w:r w:rsidR="00C93221">
        <w:rPr>
          <w:rFonts w:ascii="Segoe UI" w:eastAsia="Times New Roman" w:hAnsi="Segoe UI" w:cs="Segoe UI"/>
          <w:kern w:val="0"/>
          <w:sz w:val="21"/>
          <w:szCs w:val="21"/>
          <w14:ligatures w14:val="none"/>
        </w:rPr>
        <w:t>partners</w:t>
      </w:r>
      <w:r w:rsidR="00885470">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have contributed to vaccine hesitancy or misinformation, resisted outbreak-control measures, or where religious gatherings have acted as sites of disease transmission.</w:t>
      </w:r>
    </w:p>
    <w:p w14:paraId="49FD472D"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Research Questions</w:t>
      </w:r>
    </w:p>
    <w:p w14:paraId="14A05BEC" w14:textId="77777777" w:rsidR="009B2334" w:rsidRPr="009B2334" w:rsidRDefault="009B2334" w:rsidP="009B233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should the “faith system” be defined?</w:t>
      </w:r>
    </w:p>
    <w:p w14:paraId="66F326A7" w14:textId="4F7337B0" w:rsidR="009B2334" w:rsidRPr="009B2334" w:rsidRDefault="009B2334" w:rsidP="009B233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To what extent do faith </w:t>
      </w:r>
      <w:r w:rsidR="00C93221">
        <w:rPr>
          <w:rFonts w:ascii="Segoe UI" w:eastAsia="Times New Roman" w:hAnsi="Segoe UI" w:cs="Segoe UI"/>
          <w:kern w:val="0"/>
          <w:sz w:val="21"/>
          <w:szCs w:val="21"/>
          <w14:ligatures w14:val="none"/>
        </w:rPr>
        <w:t>partners</w:t>
      </w:r>
      <w:r w:rsidR="004A6CD1">
        <w:rPr>
          <w:rFonts w:ascii="Segoe UI" w:eastAsia="Times New Roman" w:hAnsi="Segoe UI" w:cs="Segoe UI"/>
          <w:kern w:val="0"/>
          <w:sz w:val="21"/>
          <w:szCs w:val="21"/>
          <w14:ligatures w14:val="none"/>
        </w:rPr>
        <w:t xml:space="preserve"> </w:t>
      </w:r>
      <w:r w:rsidRPr="009B2334">
        <w:rPr>
          <w:rFonts w:ascii="Segoe UI" w:eastAsia="Times New Roman" w:hAnsi="Segoe UI" w:cs="Segoe UI"/>
          <w:kern w:val="0"/>
          <w:sz w:val="21"/>
          <w:szCs w:val="21"/>
          <w14:ligatures w14:val="none"/>
        </w:rPr>
        <w:t>own, run and manage health and educational infrastructure at global, regional, national, district and local levels?</w:t>
      </w:r>
    </w:p>
    <w:p w14:paraId="191EBE2B" w14:textId="77777777" w:rsidR="009B2334" w:rsidRPr="009B2334" w:rsidRDefault="009B2334" w:rsidP="009B233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has the faith system engaged in epidemic and pandemic preparedness, prevention and response in the past and present?</w:t>
      </w:r>
    </w:p>
    <w:p w14:paraId="4B7247DE" w14:textId="122C2E43" w:rsidR="009B2334" w:rsidRPr="00E43E4C" w:rsidRDefault="009B2334" w:rsidP="00E43E4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What do partnerships between faith </w:t>
      </w:r>
      <w:r w:rsidR="00D331F8">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xml:space="preserve">, communities, national governments and global health actors </w:t>
      </w:r>
      <w:r w:rsidRPr="00E43E4C">
        <w:rPr>
          <w:rFonts w:ascii="Segoe UI" w:eastAsia="Times New Roman" w:hAnsi="Segoe UI" w:cs="Segoe UI"/>
          <w:kern w:val="0"/>
          <w:sz w:val="21"/>
          <w:szCs w:val="21"/>
          <w14:ligatures w14:val="none"/>
        </w:rPr>
        <w:t>look like in practice?</w:t>
      </w:r>
    </w:p>
    <w:p w14:paraId="7A3BFE17" w14:textId="77777777" w:rsidR="009B2334" w:rsidRPr="009B2334" w:rsidRDefault="009B2334" w:rsidP="009B233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theoretical and conceptual frameworks provide a useful basis for future work?</w:t>
      </w:r>
    </w:p>
    <w:p w14:paraId="6A8FAE84"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2526E907" w14:textId="69D29C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 paper may take the form of a scoping review using a recogni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ed methodological approach, such as the Joanna Briggs Institute (JBI) framework. The applicant team should demonstrate expertise in undertaking complex systematic and/or scoping reviews, together with disciplinary expertise spanning both public health and non-public health literature.</w:t>
      </w:r>
    </w:p>
    <w:p w14:paraId="60C67AAC" w14:textId="77777777" w:rsidR="009B2334" w:rsidRPr="009B2334" w:rsidRDefault="00B53229" w:rsidP="009B2334">
      <w:pPr>
        <w:spacing w:after="0" w:line="300" w:lineRule="atLeast"/>
        <w:rPr>
          <w:rFonts w:ascii="Segoe UI" w:eastAsia="Times New Roman" w:hAnsi="Segoe UI" w:cs="Segoe UI"/>
          <w:kern w:val="0"/>
          <w:sz w:val="21"/>
          <w:szCs w:val="21"/>
          <w14:ligatures w14:val="none"/>
        </w:rPr>
      </w:pPr>
      <w:r>
        <w:pict w14:anchorId="0D5C9DBA">
          <v:rect id="Horizontal Line 1"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5CFD1D" w14:textId="708329A8"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2: Guiding Effective Partnerships Between Faith</w:t>
      </w:r>
      <w:r w:rsidR="00D169DE">
        <w:rPr>
          <w:rFonts w:ascii="Segoe UI" w:eastAsia="Times New Roman" w:hAnsi="Segoe UI" w:cs="Segoe UI"/>
          <w:b/>
          <w:bCs/>
          <w:kern w:val="0"/>
          <w:sz w:val="36"/>
          <w:szCs w:val="36"/>
          <w14:ligatures w14:val="none"/>
        </w:rPr>
        <w:t xml:space="preserve"> </w:t>
      </w:r>
      <w:r w:rsidR="00D331F8">
        <w:rPr>
          <w:rFonts w:ascii="Segoe UI" w:eastAsia="Times New Roman" w:hAnsi="Segoe UI" w:cs="Segoe UI"/>
          <w:b/>
          <w:bCs/>
          <w:kern w:val="0"/>
          <w:sz w:val="36"/>
          <w:szCs w:val="36"/>
          <w14:ligatures w14:val="none"/>
        </w:rPr>
        <w:t>P</w:t>
      </w:r>
      <w:r w:rsidR="00D331F8" w:rsidRPr="008946D9">
        <w:rPr>
          <w:rFonts w:ascii="Segoe UI" w:eastAsia="Times New Roman" w:hAnsi="Segoe UI" w:cs="Segoe UI"/>
          <w:b/>
          <w:bCs/>
          <w:kern w:val="0"/>
          <w:sz w:val="36"/>
          <w:szCs w:val="36"/>
          <w14:ligatures w14:val="none"/>
        </w:rPr>
        <w:t>artners</w:t>
      </w:r>
      <w:r w:rsidRPr="009B2334">
        <w:rPr>
          <w:rFonts w:ascii="Segoe UI" w:eastAsia="Times New Roman" w:hAnsi="Segoe UI" w:cs="Segoe UI"/>
          <w:b/>
          <w:bCs/>
          <w:kern w:val="0"/>
          <w:sz w:val="36"/>
          <w:szCs w:val="36"/>
          <w14:ligatures w14:val="none"/>
        </w:rPr>
        <w:t xml:space="preserve">, Communities, National Governments and Global Health </w:t>
      </w:r>
      <w:r w:rsidR="00D331F8">
        <w:rPr>
          <w:rFonts w:ascii="Segoe UI" w:eastAsia="Times New Roman" w:hAnsi="Segoe UI" w:cs="Segoe UI"/>
          <w:b/>
          <w:bCs/>
          <w:kern w:val="0"/>
          <w:sz w:val="36"/>
          <w:szCs w:val="36"/>
          <w14:ligatures w14:val="none"/>
        </w:rPr>
        <w:t>P</w:t>
      </w:r>
      <w:r w:rsidR="00D331F8" w:rsidRPr="00684459">
        <w:rPr>
          <w:rFonts w:ascii="Segoe UI" w:eastAsia="Times New Roman" w:hAnsi="Segoe UI" w:cs="Segoe UI"/>
          <w:b/>
          <w:bCs/>
          <w:kern w:val="0"/>
          <w:sz w:val="36"/>
          <w:szCs w:val="36"/>
          <w14:ligatures w14:val="none"/>
        </w:rPr>
        <w:t>artners</w:t>
      </w:r>
      <w:r w:rsidR="00CE68D9">
        <w:rPr>
          <w:rFonts w:ascii="Segoe UI" w:eastAsia="Times New Roman" w:hAnsi="Segoe UI" w:cs="Segoe UI"/>
          <w:b/>
          <w:bCs/>
          <w:kern w:val="0"/>
          <w:sz w:val="36"/>
          <w:szCs w:val="36"/>
          <w14:ligatures w14:val="none"/>
        </w:rPr>
        <w:t xml:space="preserve"> </w:t>
      </w:r>
      <w:r w:rsidRPr="009B2334">
        <w:rPr>
          <w:rFonts w:ascii="Segoe UI" w:eastAsia="Times New Roman" w:hAnsi="Segoe UI" w:cs="Segoe UI"/>
          <w:b/>
          <w:bCs/>
          <w:kern w:val="0"/>
          <w:sz w:val="36"/>
          <w:szCs w:val="36"/>
          <w14:ligatures w14:val="none"/>
        </w:rPr>
        <w:t>to Implement the WHO Faith Strategy</w:t>
      </w:r>
    </w:p>
    <w:p w14:paraId="3F671934"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713EA74B" w14:textId="235E4510"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Paper 2 will examine the strengths of successful partnerships between faith </w:t>
      </w:r>
      <w:r w:rsidR="00CE68D9">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national governments and global health actors to identify mechanisms for replication, while also examining constraints associated with less successful partnerships.</w:t>
      </w:r>
    </w:p>
    <w:p w14:paraId="0BA4EC6C" w14:textId="728C385F"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The paper will discuss WHO’s 2021 strategy for engaging faith </w:t>
      </w:r>
      <w:r w:rsidR="00CE68D9">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in health emergencies and document the process through which it was co-produced. It will compare this with other strategic frameworks for engagement with faith-based organi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ations across the United Nations system.</w:t>
      </w:r>
    </w:p>
    <w:p w14:paraId="510EAE98"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Paper 2 will identify the steps needed to move from a piecemeal approach to a systems approach to partnership in epidemic and pandemic prevention, preparedness and response.</w:t>
      </w:r>
    </w:p>
    <w:p w14:paraId="3B4CE25F"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Potential evidence streams include:</w:t>
      </w:r>
    </w:p>
    <w:p w14:paraId="0F953899" w14:textId="085B923F" w:rsidR="009B2334" w:rsidRPr="009B2334" w:rsidRDefault="009B2334" w:rsidP="009B233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Country-level tripartite partnerships between faith </w:t>
      </w:r>
      <w:r w:rsidR="00CE68D9">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national governments and WHO.</w:t>
      </w:r>
    </w:p>
    <w:p w14:paraId="6AA8F024" w14:textId="77777777" w:rsidR="009B2334" w:rsidRPr="009B2334" w:rsidRDefault="009B2334" w:rsidP="009B233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Memoranda of Understanding between governments and faith-based health service providers.</w:t>
      </w:r>
    </w:p>
    <w:p w14:paraId="6E117582" w14:textId="3C062692" w:rsidR="009B2334" w:rsidRPr="009B2334" w:rsidRDefault="009B2334" w:rsidP="009B233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Country-level simulation exercises (SIMEX) that included faith </w:t>
      </w:r>
      <w:r w:rsidR="00CE68D9">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and used the WHO faith annex.</w:t>
      </w:r>
    </w:p>
    <w:p w14:paraId="2ED5F3AA" w14:textId="77777777" w:rsidR="009B2334" w:rsidRPr="009B2334" w:rsidRDefault="009B2334" w:rsidP="009B233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Partnership models from other complex systems, including public-private partnerships.</w:t>
      </w:r>
    </w:p>
    <w:p w14:paraId="60F188E9"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Research Questions</w:t>
      </w:r>
    </w:p>
    <w:p w14:paraId="2D1E4FC7"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are the strengths of successful partnerships and what mechanisms allow them to be replicated?</w:t>
      </w:r>
    </w:p>
    <w:p w14:paraId="7EE745CD"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constrains less successful partnerships?</w:t>
      </w:r>
    </w:p>
    <w:p w14:paraId="096DD8BD"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was WHO’s 2021 strategy co-produced and how does it compare with other UN approaches?</w:t>
      </w:r>
    </w:p>
    <w:p w14:paraId="56208986"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steps are needed to move towards a systems approach to partnership?</w:t>
      </w:r>
    </w:p>
    <w:p w14:paraId="3948C2BB" w14:textId="5D4DA08F"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What lessons can be drawn from simulation exercises </w:t>
      </w:r>
      <w:r w:rsidR="0023687E">
        <w:rPr>
          <w:rFonts w:ascii="Segoe UI" w:eastAsia="Times New Roman" w:hAnsi="Segoe UI" w:cs="Segoe UI"/>
          <w:kern w:val="0"/>
          <w:sz w:val="21"/>
          <w:szCs w:val="21"/>
          <w14:ligatures w14:val="none"/>
        </w:rPr>
        <w:t xml:space="preserve">(SIMEX) </w:t>
      </w:r>
      <w:r w:rsidRPr="009B2334">
        <w:rPr>
          <w:rFonts w:ascii="Segoe UI" w:eastAsia="Times New Roman" w:hAnsi="Segoe UI" w:cs="Segoe UI"/>
          <w:kern w:val="0"/>
          <w:sz w:val="21"/>
          <w:szCs w:val="21"/>
          <w14:ligatures w14:val="none"/>
        </w:rPr>
        <w:t>involving faith</w:t>
      </w:r>
      <w:r w:rsidR="00CD1D1B">
        <w:rPr>
          <w:rFonts w:ascii="Segoe UI" w:eastAsia="Times New Roman" w:hAnsi="Segoe UI" w:cs="Segoe UI"/>
          <w:kern w:val="0"/>
          <w:sz w:val="21"/>
          <w:szCs w:val="21"/>
          <w14:ligatures w14:val="none"/>
        </w:rPr>
        <w:t xml:space="preserve"> </w:t>
      </w:r>
      <w:r w:rsidR="00CE68D9">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w:t>
      </w:r>
    </w:p>
    <w:p w14:paraId="37634CBC"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other partnership models may inform effective engagement?</w:t>
      </w:r>
    </w:p>
    <w:p w14:paraId="7783A91A" w14:textId="77777777" w:rsidR="009B2334" w:rsidRPr="009B2334" w:rsidRDefault="009B2334" w:rsidP="009B233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Why does distrust persist between secular public health structures and the faith sector?</w:t>
      </w:r>
    </w:p>
    <w:p w14:paraId="10FB3E5D"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11942944"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paper may include document review, case study analysis and analysis of existing primary and secondary data. Additional original research may be commissioned as required.</w:t>
      </w:r>
    </w:p>
    <w:p w14:paraId="7BFFC102" w14:textId="77777777" w:rsidR="009B2334" w:rsidRPr="009B2334" w:rsidRDefault="00B53229" w:rsidP="009B2334">
      <w:pPr>
        <w:spacing w:after="0" w:line="300" w:lineRule="atLeast"/>
        <w:rPr>
          <w:rFonts w:ascii="Segoe UI" w:eastAsia="Times New Roman" w:hAnsi="Segoe UI" w:cs="Segoe UI"/>
          <w:kern w:val="0"/>
          <w:sz w:val="21"/>
          <w:szCs w:val="21"/>
          <w14:ligatures w14:val="none"/>
        </w:rPr>
      </w:pPr>
      <w:r>
        <w:pict w14:anchorId="5824FE97">
          <v:rect id="Horizontal Line 2"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9C697B"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3: Faith-Owned and Managed Health Facilities in Epidemic and Pandemic Preparedness, Prevention and Response</w:t>
      </w:r>
    </w:p>
    <w:p w14:paraId="148761FD"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28C6D345"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 paper examines the contribution of faith-run health facilities to strengthening national health and community systems for epidemic and pandemic prevention, preparedness and response.</w:t>
      </w:r>
    </w:p>
    <w:p w14:paraId="6EA3C5EC"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The paper will review the evidence and, where needed, commission original research to identify research gaps and priorities. It may document examples and models of health service delivery through primary, secondary and tertiary faith-owned and managed health facilities during health emergencies, particularly HIV, Ebola and COVID-19.</w:t>
      </w:r>
    </w:p>
    <w:p w14:paraId="1BECCFFE"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paper may also document limitations and risks associated with faith-run health care, including variability in quality and oversight and cases where religious doctrine has restricted access to certain services.</w:t>
      </w:r>
    </w:p>
    <w:p w14:paraId="66F4146B"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It will explore faith-run health delivery as part of a complex religious, cultural, political, health and community system and may conclude with recommendations for policy, training and practice.</w:t>
      </w:r>
    </w:p>
    <w:p w14:paraId="3CC04236"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Research Questions</w:t>
      </w:r>
    </w:p>
    <w:p w14:paraId="36B8D654" w14:textId="24C214EE"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is the contribution of faith-run and faith-managed health facilities to strengthening national health and community systems</w:t>
      </w:r>
      <w:r w:rsidR="008B4D39">
        <w:rPr>
          <w:rFonts w:ascii="Segoe UI" w:eastAsia="Times New Roman" w:hAnsi="Segoe UI" w:cs="Segoe UI"/>
          <w:kern w:val="0"/>
          <w:sz w:val="21"/>
          <w:szCs w:val="21"/>
          <w14:ligatures w14:val="none"/>
        </w:rPr>
        <w:t xml:space="preserve"> f</w:t>
      </w:r>
      <w:r w:rsidR="008B4D39" w:rsidRPr="008B4D39">
        <w:rPr>
          <w:rFonts w:ascii="Segoe UI" w:eastAsia="Times New Roman" w:hAnsi="Segoe UI" w:cs="Segoe UI"/>
          <w:kern w:val="0"/>
          <w:sz w:val="21"/>
          <w:szCs w:val="21"/>
          <w14:ligatures w14:val="none"/>
        </w:rPr>
        <w:t>or epidemic and pandemic prevention, preparedness, and response</w:t>
      </w:r>
      <w:r w:rsidRPr="009B2334">
        <w:rPr>
          <w:rFonts w:ascii="Segoe UI" w:eastAsia="Times New Roman" w:hAnsi="Segoe UI" w:cs="Segoe UI"/>
          <w:kern w:val="0"/>
          <w:sz w:val="21"/>
          <w:szCs w:val="21"/>
          <w14:ligatures w14:val="none"/>
        </w:rPr>
        <w:t>?</w:t>
      </w:r>
    </w:p>
    <w:p w14:paraId="6C031DA5"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examples and models of service delivery exist?</w:t>
      </w:r>
    </w:p>
    <w:p w14:paraId="4E952792"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models show potential for replication and scale-up?</w:t>
      </w:r>
    </w:p>
    <w:p w14:paraId="4B1BE3C8"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are the limitations and risks associated with faith-run health care?</w:t>
      </w:r>
    </w:p>
    <w:p w14:paraId="07FE3E09"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can faith-run health delivery be understood as part of a broader complex system?</w:t>
      </w:r>
    </w:p>
    <w:p w14:paraId="3F9E9299"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does existing literature reveal about trust and potential biases in this field?</w:t>
      </w:r>
    </w:p>
    <w:p w14:paraId="416ABB51" w14:textId="77777777" w:rsidR="009B2334" w:rsidRPr="009B2334" w:rsidRDefault="009B2334" w:rsidP="009B233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policy, training and practice recommendations show promise for future collaboration?</w:t>
      </w:r>
    </w:p>
    <w:p w14:paraId="36A0F40F"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730AD81E" w14:textId="77777777" w:rsidR="00F52232" w:rsidRPr="00F52232" w:rsidRDefault="00F52232" w:rsidP="00F52232">
      <w:pPr>
        <w:spacing w:after="0" w:line="300" w:lineRule="atLeast"/>
        <w:rPr>
          <w:rFonts w:ascii="Segoe UI" w:eastAsia="Times New Roman" w:hAnsi="Segoe UI" w:cs="Segoe UI"/>
          <w:kern w:val="0"/>
          <w:sz w:val="21"/>
          <w:szCs w:val="21"/>
          <w14:ligatures w14:val="none"/>
        </w:rPr>
      </w:pPr>
      <w:r w:rsidRPr="00F52232">
        <w:rPr>
          <w:rFonts w:ascii="Segoe UI" w:eastAsia="Times New Roman" w:hAnsi="Segoe UI" w:cs="Segoe UI"/>
          <w:kern w:val="0"/>
          <w:sz w:val="21"/>
          <w:szCs w:val="21"/>
          <w14:ligatures w14:val="none"/>
        </w:rPr>
        <w:t>The paper may include document review, case study analysis and analysis of existing primary and secondary data. Additional original research may be commissioned as required.</w:t>
      </w:r>
    </w:p>
    <w:p w14:paraId="6FF346E4" w14:textId="77777777" w:rsidR="009B2334" w:rsidRPr="009B2334" w:rsidRDefault="00B53229" w:rsidP="009B2334">
      <w:pPr>
        <w:spacing w:after="0" w:line="300" w:lineRule="atLeast"/>
        <w:rPr>
          <w:rFonts w:ascii="Segoe UI" w:eastAsia="Times New Roman" w:hAnsi="Segoe UI" w:cs="Segoe UI"/>
          <w:kern w:val="0"/>
          <w:sz w:val="21"/>
          <w:szCs w:val="21"/>
          <w14:ligatures w14:val="none"/>
        </w:rPr>
      </w:pPr>
      <w:r>
        <w:pict w14:anchorId="13D1180D">
          <v:rect id="Horizontal Line 3"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F38E04"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4: Faith-Based Spiritual, Mental Health and Palliative Care in Epidemic and Pandemic Preparedness, Prevention and Response</w:t>
      </w:r>
    </w:p>
    <w:p w14:paraId="349C0C97"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619BCE3A" w14:textId="16983696"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 paper will examine faith</w:t>
      </w:r>
      <w:r w:rsidR="00A35D64">
        <w:rPr>
          <w:rFonts w:ascii="Segoe UI" w:eastAsia="Times New Roman" w:hAnsi="Segoe UI" w:cs="Segoe UI"/>
          <w:kern w:val="0"/>
          <w:sz w:val="21"/>
          <w:szCs w:val="21"/>
          <w14:ligatures w14:val="none"/>
        </w:rPr>
        <w:t xml:space="preserve"> </w:t>
      </w:r>
      <w:r w:rsidR="00EC332D">
        <w:rPr>
          <w:rFonts w:ascii="Segoe UI" w:eastAsia="Times New Roman" w:hAnsi="Segoe UI" w:cs="Segoe UI"/>
          <w:kern w:val="0"/>
          <w:sz w:val="21"/>
          <w:szCs w:val="21"/>
          <w14:ligatures w14:val="none"/>
        </w:rPr>
        <w:t>partners</w:t>
      </w:r>
      <w:r w:rsidRPr="009B2334">
        <w:rPr>
          <w:rFonts w:ascii="Segoe UI" w:eastAsia="Times New Roman" w:hAnsi="Segoe UI" w:cs="Segoe UI"/>
          <w:kern w:val="0"/>
          <w:sz w:val="21"/>
          <w:szCs w:val="21"/>
          <w14:ligatures w14:val="none"/>
        </w:rPr>
        <w:t>’ contribution to strengthening national health and community systems through spiritual care, mental health support and palliative care.</w:t>
      </w:r>
    </w:p>
    <w:p w14:paraId="31436AF3"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review will analyse current literature on chaplaincy, spiritual care, mental health and palliative care, clarifying the relationships and distinctions between these domains.</w:t>
      </w:r>
    </w:p>
    <w:p w14:paraId="026ACAFE"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The paper will explore the changing role of chaplains in health emergencies and document faith engagement in mental health care, social prescribing and responses to loneliness.</w:t>
      </w:r>
    </w:p>
    <w:p w14:paraId="55FA162A" w14:textId="34B5EE98" w:rsid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It will also consider risks and limitations, including proselyti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 imposition of religious beliefs and faith-based stigmati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 of mental illness.</w:t>
      </w:r>
    </w:p>
    <w:p w14:paraId="5962DD3D" w14:textId="285D7291" w:rsidR="00E71B3C" w:rsidRPr="009B2334" w:rsidRDefault="00E71B3C" w:rsidP="009B2334">
      <w:pPr>
        <w:spacing w:before="100" w:beforeAutospacing="1" w:after="100" w:afterAutospacing="1" w:line="300" w:lineRule="atLeast"/>
        <w:rPr>
          <w:rFonts w:ascii="Segoe UI" w:eastAsia="Times New Roman" w:hAnsi="Segoe UI" w:cs="Segoe UI"/>
          <w:kern w:val="0"/>
          <w:sz w:val="21"/>
          <w:szCs w:val="21"/>
          <w14:ligatures w14:val="none"/>
        </w:rPr>
      </w:pPr>
      <w:r w:rsidRPr="00E71B3C">
        <w:rPr>
          <w:rFonts w:ascii="Segoe UI" w:eastAsia="Times New Roman" w:hAnsi="Segoe UI" w:cs="Segoe UI"/>
          <w:kern w:val="0"/>
          <w:sz w:val="21"/>
          <w:szCs w:val="21"/>
          <w14:ligatures w14:val="none"/>
        </w:rPr>
        <w:t>Drawing on lessons from the HIV, Ebola, and COVID-19 epidemics and pandemics, the paper will set out implications for future policy, training, and practice — including the core skills in spiritual, mental health, and palliative care that non-specialist health care workers need.</w:t>
      </w:r>
    </w:p>
    <w:p w14:paraId="76312352"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Research Questions</w:t>
      </w:r>
    </w:p>
    <w:p w14:paraId="5624FE5E" w14:textId="77777777"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can spiritual care, mental health care, palliative care and chaplaincy be distinguished and understood?</w:t>
      </w:r>
    </w:p>
    <w:p w14:paraId="643F4678" w14:textId="77777777"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have roles changed during health emergencies?</w:t>
      </w:r>
    </w:p>
    <w:p w14:paraId="6A7F6021" w14:textId="070CC545"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evidence exists concerning risks associated with faith engagement?</w:t>
      </w:r>
      <w:r w:rsidR="00CD1775">
        <w:rPr>
          <w:rFonts w:ascii="Segoe UI" w:eastAsia="Times New Roman" w:hAnsi="Segoe UI" w:cs="Segoe UI"/>
          <w:kern w:val="0"/>
          <w:sz w:val="21"/>
          <w:szCs w:val="21"/>
          <w14:ligatures w14:val="none"/>
        </w:rPr>
        <w:t xml:space="preserve"> (</w:t>
      </w:r>
      <w:r w:rsidR="00CD1775" w:rsidRPr="00CD1775">
        <w:rPr>
          <w:rFonts w:ascii="Segoe UI" w:eastAsia="Times New Roman" w:hAnsi="Segoe UI" w:cs="Segoe UI"/>
          <w:kern w:val="0"/>
          <w:sz w:val="21"/>
          <w:szCs w:val="21"/>
          <w14:ligatures w14:val="none"/>
        </w:rPr>
        <w:t>including proselyti</w:t>
      </w:r>
      <w:r w:rsidR="00F52232">
        <w:rPr>
          <w:rFonts w:ascii="Segoe UI" w:eastAsia="Times New Roman" w:hAnsi="Segoe UI" w:cs="Segoe UI"/>
          <w:kern w:val="0"/>
          <w:sz w:val="21"/>
          <w:szCs w:val="21"/>
          <w14:ligatures w14:val="none"/>
        </w:rPr>
        <w:t>s</w:t>
      </w:r>
      <w:r w:rsidR="00CD1775" w:rsidRPr="00CD1775">
        <w:rPr>
          <w:rFonts w:ascii="Segoe UI" w:eastAsia="Times New Roman" w:hAnsi="Segoe UI" w:cs="Segoe UI"/>
          <w:kern w:val="0"/>
          <w:sz w:val="21"/>
          <w:szCs w:val="21"/>
          <w14:ligatures w14:val="none"/>
        </w:rPr>
        <w:t xml:space="preserve">ation, imposition of religious belief in clinical settings, or religious framings of mental illness that may contribute to stigma or delayed </w:t>
      </w:r>
      <w:r w:rsidR="00CD1775">
        <w:rPr>
          <w:rFonts w:ascii="Segoe UI" w:eastAsia="Times New Roman" w:hAnsi="Segoe UI" w:cs="Segoe UI"/>
          <w:kern w:val="0"/>
          <w:sz w:val="21"/>
          <w:szCs w:val="21"/>
          <w14:ligatures w14:val="none"/>
        </w:rPr>
        <w:t>treatment).</w:t>
      </w:r>
    </w:p>
    <w:p w14:paraId="3397B977" w14:textId="77777777"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role may faith communities play in mental health support?</w:t>
      </w:r>
    </w:p>
    <w:p w14:paraId="5EB2DE26" w14:textId="77777777"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core competencies are needed by non-specialist health workers?</w:t>
      </w:r>
    </w:p>
    <w:p w14:paraId="0F01426E" w14:textId="77777777" w:rsidR="009B2334" w:rsidRPr="009B2334" w:rsidRDefault="009B2334" w:rsidP="009B233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implications does this evidence have for future policy, training and practice?</w:t>
      </w:r>
    </w:p>
    <w:p w14:paraId="3E5E3BA5"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0330B594" w14:textId="77777777" w:rsidR="00F52232" w:rsidRPr="00F52232" w:rsidRDefault="00F52232" w:rsidP="00F52232">
      <w:pPr>
        <w:spacing w:after="0" w:line="300" w:lineRule="atLeast"/>
        <w:rPr>
          <w:rFonts w:ascii="Segoe UI" w:eastAsia="Times New Roman" w:hAnsi="Segoe UI" w:cs="Segoe UI"/>
          <w:kern w:val="0"/>
          <w:sz w:val="21"/>
          <w:szCs w:val="21"/>
          <w14:ligatures w14:val="none"/>
        </w:rPr>
      </w:pPr>
      <w:r w:rsidRPr="00F52232">
        <w:rPr>
          <w:rFonts w:ascii="Segoe UI" w:eastAsia="Times New Roman" w:hAnsi="Segoe UI" w:cs="Segoe UI"/>
          <w:kern w:val="0"/>
          <w:sz w:val="21"/>
          <w:szCs w:val="21"/>
          <w14:ligatures w14:val="none"/>
        </w:rPr>
        <w:t>The paper may include document review, case study analysis and analysis of existing primary and secondary data. Additional original research may be commissioned as required.</w:t>
      </w:r>
    </w:p>
    <w:p w14:paraId="19C1493F" w14:textId="77777777" w:rsidR="009B2334" w:rsidRPr="009B2334" w:rsidRDefault="00B53229" w:rsidP="009B2334">
      <w:pPr>
        <w:spacing w:after="0" w:line="300" w:lineRule="atLeast"/>
        <w:rPr>
          <w:rFonts w:ascii="Segoe UI" w:eastAsia="Times New Roman" w:hAnsi="Segoe UI" w:cs="Segoe UI"/>
          <w:kern w:val="0"/>
          <w:sz w:val="21"/>
          <w:szCs w:val="21"/>
          <w14:ligatures w14:val="none"/>
        </w:rPr>
      </w:pPr>
      <w:r>
        <w:pict w14:anchorId="3DA23CB8">
          <v:rect id="Horizontal Line 4" o:spid="_x0000_s10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23AC10" w14:textId="3FFC0F44"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5: Building Trust: Faith</w:t>
      </w:r>
      <w:r w:rsidR="009D119B">
        <w:rPr>
          <w:rFonts w:ascii="Segoe UI" w:eastAsia="Times New Roman" w:hAnsi="Segoe UI" w:cs="Segoe UI"/>
          <w:b/>
          <w:bCs/>
          <w:kern w:val="0"/>
          <w:sz w:val="36"/>
          <w:szCs w:val="36"/>
          <w14:ligatures w14:val="none"/>
        </w:rPr>
        <w:t xml:space="preserve"> Partners</w:t>
      </w:r>
      <w:r w:rsidRPr="009B2334">
        <w:rPr>
          <w:rFonts w:ascii="Segoe UI" w:eastAsia="Times New Roman" w:hAnsi="Segoe UI" w:cs="Segoe UI"/>
          <w:b/>
          <w:bCs/>
          <w:kern w:val="0"/>
          <w:sz w:val="36"/>
          <w:szCs w:val="36"/>
          <w14:ligatures w14:val="none"/>
        </w:rPr>
        <w:t>, Risk Communication and Equity in Epidemic and Pandemic Preparedness, Prevention and Response</w:t>
      </w:r>
    </w:p>
    <w:p w14:paraId="1E8CA1CE"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142813F6" w14:textId="43E26E08"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This paper will examine how faith </w:t>
      </w:r>
      <w:r w:rsidR="009D119B">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contribute to social cohesion, trust and equitable access to health guidance and services during epidemics and pandemics, with a focus on risk communication, community engagement, and vaccine equity, access and uptake.</w:t>
      </w:r>
    </w:p>
    <w:p w14:paraId="609279B7"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It will draw on WHO experience during COVID-19 and review ongoing programmatic work designed to strengthen trust within communities.</w:t>
      </w:r>
    </w:p>
    <w:p w14:paraId="6E5447E8"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The paper will also document instances where religious leaders or communities have contributed to vaccine hesitancy, misinformation or resistance to public health guidance.</w:t>
      </w:r>
    </w:p>
    <w:p w14:paraId="325774BC"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Research Questions</w:t>
      </w:r>
    </w:p>
    <w:p w14:paraId="60262809" w14:textId="77777777" w:rsidR="009B2334" w:rsidRPr="009B2334" w:rsidRDefault="009B2334" w:rsidP="009B2334">
      <w:pPr>
        <w:spacing w:before="100" w:beforeAutospacing="1" w:after="100" w:afterAutospacing="1" w:line="300" w:lineRule="atLeast"/>
        <w:outlineLvl w:val="3"/>
        <w:rPr>
          <w:rFonts w:ascii="Segoe UI" w:eastAsia="Times New Roman" w:hAnsi="Segoe UI" w:cs="Segoe UI"/>
          <w:b/>
          <w:bCs/>
          <w:kern w:val="0"/>
          <w14:ligatures w14:val="none"/>
        </w:rPr>
      </w:pPr>
      <w:r w:rsidRPr="009B2334">
        <w:rPr>
          <w:rFonts w:ascii="Segoe UI" w:eastAsia="Times New Roman" w:hAnsi="Segoe UI" w:cs="Segoe UI"/>
          <w:b/>
          <w:bCs/>
          <w:kern w:val="0"/>
          <w14:ligatures w14:val="none"/>
        </w:rPr>
        <w:t>Strengthening Social Cohesion and Trust</w:t>
      </w:r>
    </w:p>
    <w:p w14:paraId="32DAD602" w14:textId="77777777"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does partnership with faith leaders affect local ownership and trust in public health guidance?</w:t>
      </w:r>
    </w:p>
    <w:p w14:paraId="1050E46B" w14:textId="77777777"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role does faith-based social care play in building trust?</w:t>
      </w:r>
    </w:p>
    <w:p w14:paraId="0A57A09C" w14:textId="77777777"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have places of worship been used innovatively during pandemics?</w:t>
      </w:r>
    </w:p>
    <w:p w14:paraId="5EB93BF0" w14:textId="512601A4"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role do faith communities play in providing trusted care for marginali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ed populations?</w:t>
      </w:r>
    </w:p>
    <w:p w14:paraId="033D5A08" w14:textId="77777777"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have COVID-19 responses built on relationships from earlier epidemics?</w:t>
      </w:r>
    </w:p>
    <w:p w14:paraId="63B39156" w14:textId="77777777" w:rsidR="009B2334" w:rsidRPr="009B2334" w:rsidRDefault="009B2334" w:rsidP="009B233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biases may have shaped previous research and evidence?</w:t>
      </w:r>
    </w:p>
    <w:p w14:paraId="7ADB856E" w14:textId="77777777" w:rsidR="009B2334" w:rsidRPr="009B2334" w:rsidRDefault="009B2334" w:rsidP="009B2334">
      <w:pPr>
        <w:spacing w:before="100" w:beforeAutospacing="1" w:after="100" w:afterAutospacing="1" w:line="300" w:lineRule="atLeast"/>
        <w:outlineLvl w:val="3"/>
        <w:rPr>
          <w:rFonts w:ascii="Segoe UI" w:eastAsia="Times New Roman" w:hAnsi="Segoe UI" w:cs="Segoe UI"/>
          <w:b/>
          <w:bCs/>
          <w:kern w:val="0"/>
          <w14:ligatures w14:val="none"/>
        </w:rPr>
      </w:pPr>
      <w:r w:rsidRPr="009B2334">
        <w:rPr>
          <w:rFonts w:ascii="Segoe UI" w:eastAsia="Times New Roman" w:hAnsi="Segoe UI" w:cs="Segoe UI"/>
          <w:b/>
          <w:bCs/>
          <w:kern w:val="0"/>
          <w14:ligatures w14:val="none"/>
        </w:rPr>
        <w:t>Communication and Advocacy</w:t>
      </w:r>
    </w:p>
    <w:p w14:paraId="529AC119" w14:textId="77777777" w:rsidR="009B2334" w:rsidRPr="009B2334" w:rsidRDefault="009B2334" w:rsidP="009B233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has been the effect of involving religious leaders in health communication planning?</w:t>
      </w:r>
    </w:p>
    <w:p w14:paraId="15EECAE7" w14:textId="60A409F0" w:rsidR="009B2334" w:rsidRPr="009B2334" w:rsidRDefault="009B2334" w:rsidP="009B233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How may faith </w:t>
      </w:r>
      <w:r w:rsidR="009D119B">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mitigate politici</w:t>
      </w:r>
      <w:r w:rsidR="00F52232">
        <w:rPr>
          <w:rFonts w:ascii="Segoe UI" w:eastAsia="Times New Roman" w:hAnsi="Segoe UI" w:cs="Segoe UI"/>
          <w:kern w:val="0"/>
          <w:sz w:val="21"/>
          <w:szCs w:val="21"/>
          <w14:ligatures w14:val="none"/>
        </w:rPr>
        <w:t>s</w:t>
      </w:r>
      <w:r w:rsidRPr="009B2334">
        <w:rPr>
          <w:rFonts w:ascii="Segoe UI" w:eastAsia="Times New Roman" w:hAnsi="Segoe UI" w:cs="Segoe UI"/>
          <w:kern w:val="0"/>
          <w:sz w:val="21"/>
          <w:szCs w:val="21"/>
          <w14:ligatures w14:val="none"/>
        </w:rPr>
        <w:t>ation of health messaging?</w:t>
      </w:r>
    </w:p>
    <w:p w14:paraId="04EACC33" w14:textId="77777777" w:rsidR="009B2334" w:rsidRPr="009B2334" w:rsidRDefault="009B2334" w:rsidP="009B233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What evidence exists concerning religiously tailored health messaging?</w:t>
      </w:r>
    </w:p>
    <w:p w14:paraId="3EA8708F" w14:textId="77777777" w:rsidR="009B2334" w:rsidRPr="009B2334" w:rsidRDefault="009B2334" w:rsidP="009B233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effective are faith-based communication channels?</w:t>
      </w:r>
    </w:p>
    <w:p w14:paraId="5EF2E1FC" w14:textId="77777777" w:rsidR="009B2334" w:rsidRPr="009B2334" w:rsidRDefault="009B2334" w:rsidP="009B2334">
      <w:pPr>
        <w:spacing w:before="100" w:beforeAutospacing="1" w:after="100" w:afterAutospacing="1" w:line="300" w:lineRule="atLeast"/>
        <w:outlineLvl w:val="3"/>
        <w:rPr>
          <w:rFonts w:ascii="Segoe UI" w:eastAsia="Times New Roman" w:hAnsi="Segoe UI" w:cs="Segoe UI"/>
          <w:b/>
          <w:bCs/>
          <w:kern w:val="0"/>
          <w14:ligatures w14:val="none"/>
        </w:rPr>
      </w:pPr>
      <w:r w:rsidRPr="009B2334">
        <w:rPr>
          <w:rFonts w:ascii="Segoe UI" w:eastAsia="Times New Roman" w:hAnsi="Segoe UI" w:cs="Segoe UI"/>
          <w:b/>
          <w:bCs/>
          <w:kern w:val="0"/>
          <w14:ligatures w14:val="none"/>
        </w:rPr>
        <w:t>Trust and Resilience</w:t>
      </w:r>
    </w:p>
    <w:p w14:paraId="26D457B1" w14:textId="77777777" w:rsidR="009B2334" w:rsidRPr="009B2334" w:rsidRDefault="009B2334" w:rsidP="009B233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may faith partners best be included in future emergency planning?</w:t>
      </w:r>
    </w:p>
    <w:p w14:paraId="3B34DE4B" w14:textId="101E1EA6" w:rsidR="009B2334" w:rsidRPr="009B2334" w:rsidRDefault="009B2334" w:rsidP="009B233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What role do faith </w:t>
      </w:r>
      <w:r w:rsidR="009D119B">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play in advocating for equity?</w:t>
      </w:r>
    </w:p>
    <w:p w14:paraId="7640B78A" w14:textId="0E1844E0" w:rsidR="009B2334" w:rsidRPr="009B2334" w:rsidRDefault="009B2334" w:rsidP="009B233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How have faith actors contributed to vaccine hesitancy or misinformation?</w:t>
      </w:r>
    </w:p>
    <w:p w14:paraId="2BCE103C"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44FC0CA0" w14:textId="77777777" w:rsidR="00716681" w:rsidRPr="00716681" w:rsidRDefault="00716681" w:rsidP="00716681">
      <w:pPr>
        <w:spacing w:after="0" w:line="300" w:lineRule="atLeast"/>
        <w:rPr>
          <w:rFonts w:ascii="Segoe UI" w:eastAsia="Times New Roman" w:hAnsi="Segoe UI" w:cs="Segoe UI"/>
          <w:kern w:val="0"/>
          <w:sz w:val="21"/>
          <w:szCs w:val="21"/>
          <w14:ligatures w14:val="none"/>
        </w:rPr>
      </w:pPr>
      <w:r w:rsidRPr="00716681">
        <w:rPr>
          <w:rFonts w:ascii="Segoe UI" w:eastAsia="Times New Roman" w:hAnsi="Segoe UI" w:cs="Segoe UI"/>
          <w:kern w:val="0"/>
          <w:sz w:val="21"/>
          <w:szCs w:val="21"/>
          <w14:ligatures w14:val="none"/>
        </w:rPr>
        <w:t>The paper may include document review, case study analysis and analysis of existing primary and secondary data. Additional original research may be commissioned as required.</w:t>
      </w:r>
    </w:p>
    <w:p w14:paraId="263CEE07" w14:textId="77777777" w:rsidR="009B2334" w:rsidRPr="009B2334" w:rsidRDefault="00B53229" w:rsidP="009B2334">
      <w:pPr>
        <w:spacing w:after="0" w:line="300" w:lineRule="atLeast"/>
        <w:rPr>
          <w:rFonts w:ascii="Segoe UI" w:eastAsia="Times New Roman" w:hAnsi="Segoe UI" w:cs="Segoe UI"/>
          <w:kern w:val="0"/>
          <w:sz w:val="21"/>
          <w:szCs w:val="21"/>
          <w14:ligatures w14:val="none"/>
        </w:rPr>
      </w:pPr>
      <w:r>
        <w:pict w14:anchorId="23352D85">
          <v:rect id="Horizontal Line 5"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84465B" w14:textId="77777777" w:rsidR="009B2334" w:rsidRPr="009B2334" w:rsidRDefault="009B2334" w:rsidP="009B233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B2334">
        <w:rPr>
          <w:rFonts w:ascii="Segoe UI" w:eastAsia="Times New Roman" w:hAnsi="Segoe UI" w:cs="Segoe UI"/>
          <w:b/>
          <w:bCs/>
          <w:kern w:val="0"/>
          <w:sz w:val="36"/>
          <w:szCs w:val="36"/>
          <w14:ligatures w14:val="none"/>
        </w:rPr>
        <w:t>Paper 6: Open for Proposals</w:t>
      </w:r>
    </w:p>
    <w:p w14:paraId="0F8BD34C"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Background</w:t>
      </w:r>
    </w:p>
    <w:p w14:paraId="0235D3F8"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This paper is intentionally left open for proposals rather than scoped in advance.</w:t>
      </w:r>
    </w:p>
    <w:p w14:paraId="66117DE6" w14:textId="77777777" w:rsidR="009B2334" w:rsidRPr="009B2334" w:rsidRDefault="009B2334" w:rsidP="009B2334">
      <w:p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Potential topics include:</w:t>
      </w:r>
    </w:p>
    <w:p w14:paraId="4817D239" w14:textId="6E8A6D57" w:rsidR="009B2334" w:rsidRPr="009B2334" w:rsidRDefault="009B2334" w:rsidP="009B233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lastRenderedPageBreak/>
        <w:t xml:space="preserve">One Health and the role of faith </w:t>
      </w:r>
      <w:r w:rsidR="009D119B">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in animal and environmental health.</w:t>
      </w:r>
    </w:p>
    <w:p w14:paraId="54E8B43D" w14:textId="77777777" w:rsidR="009B2334" w:rsidRPr="009B2334" w:rsidRDefault="009B2334" w:rsidP="009B233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world of work and faith engagement in workplace preparedness and response.</w:t>
      </w:r>
    </w:p>
    <w:p w14:paraId="7E5778B3" w14:textId="4F9194CC" w:rsidR="009B2334" w:rsidRPr="009B2334" w:rsidRDefault="009B2334" w:rsidP="009B233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 xml:space="preserve">The education sector and the role of faith </w:t>
      </w:r>
      <w:r w:rsidR="00EC1C66">
        <w:rPr>
          <w:rFonts w:ascii="Segoe UI" w:eastAsia="Times New Roman" w:hAnsi="Segoe UI" w:cs="Segoe UI"/>
          <w:kern w:val="0"/>
          <w:sz w:val="21"/>
          <w:szCs w:val="21"/>
          <w14:ligatures w14:val="none"/>
        </w:rPr>
        <w:t xml:space="preserve">partners </w:t>
      </w:r>
      <w:r w:rsidRPr="009B2334">
        <w:rPr>
          <w:rFonts w:ascii="Segoe UI" w:eastAsia="Times New Roman" w:hAnsi="Segoe UI" w:cs="Segoe UI"/>
          <w:kern w:val="0"/>
          <w:sz w:val="21"/>
          <w:szCs w:val="21"/>
          <w14:ligatures w14:val="none"/>
        </w:rPr>
        <w:t>in preparedness, prevention and response.</w:t>
      </w:r>
    </w:p>
    <w:p w14:paraId="7CBE647C" w14:textId="77777777" w:rsidR="009B2334" w:rsidRPr="009B2334" w:rsidRDefault="009B2334" w:rsidP="009B233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B2334">
        <w:rPr>
          <w:rFonts w:ascii="Segoe UI" w:eastAsia="Times New Roman" w:hAnsi="Segoe UI" w:cs="Segoe UI"/>
          <w:b/>
          <w:bCs/>
          <w:kern w:val="0"/>
          <w:sz w:val="27"/>
          <w:szCs w:val="27"/>
          <w14:ligatures w14:val="none"/>
        </w:rPr>
        <w:t>Potential Methodological Approach</w:t>
      </w:r>
    </w:p>
    <w:p w14:paraId="23F559BF" w14:textId="77777777" w:rsidR="00716681" w:rsidRPr="00F52232" w:rsidRDefault="009B2334" w:rsidP="00716681">
      <w:pPr>
        <w:spacing w:after="0" w:line="300" w:lineRule="atLeast"/>
        <w:rPr>
          <w:rFonts w:ascii="Segoe UI" w:eastAsia="Times New Roman" w:hAnsi="Segoe UI" w:cs="Segoe UI"/>
          <w:kern w:val="0"/>
          <w:sz w:val="21"/>
          <w:szCs w:val="21"/>
          <w14:ligatures w14:val="none"/>
        </w:rPr>
      </w:pPr>
      <w:r w:rsidRPr="009B2334">
        <w:rPr>
          <w:rFonts w:ascii="Segoe UI" w:eastAsia="Times New Roman" w:hAnsi="Segoe UI" w:cs="Segoe UI"/>
          <w:kern w:val="0"/>
          <w:sz w:val="21"/>
          <w:szCs w:val="21"/>
          <w14:ligatures w14:val="none"/>
        </w:rPr>
        <w:t>The methodological approach will be determined by the lead authors selected for the chosen topic</w:t>
      </w:r>
      <w:r w:rsidR="00716681">
        <w:rPr>
          <w:rFonts w:ascii="Segoe UI" w:eastAsia="Times New Roman" w:hAnsi="Segoe UI" w:cs="Segoe UI"/>
          <w:kern w:val="0"/>
          <w:sz w:val="21"/>
          <w:szCs w:val="21"/>
          <w14:ligatures w14:val="none"/>
        </w:rPr>
        <w:t>.</w:t>
      </w:r>
      <w:r w:rsidRPr="009B2334">
        <w:rPr>
          <w:rFonts w:ascii="Segoe UI" w:eastAsia="Times New Roman" w:hAnsi="Segoe UI" w:cs="Segoe UI"/>
          <w:kern w:val="0"/>
          <w:sz w:val="21"/>
          <w:szCs w:val="21"/>
          <w14:ligatures w14:val="none"/>
        </w:rPr>
        <w:t xml:space="preserve"> </w:t>
      </w:r>
      <w:r w:rsidR="00716681" w:rsidRPr="00F52232">
        <w:rPr>
          <w:rFonts w:ascii="Segoe UI" w:eastAsia="Times New Roman" w:hAnsi="Segoe UI" w:cs="Segoe UI"/>
          <w:kern w:val="0"/>
          <w:sz w:val="21"/>
          <w:szCs w:val="21"/>
          <w14:ligatures w14:val="none"/>
        </w:rPr>
        <w:t>The paper may include document review, case study analysis and analysis of existing primary and secondary data. Additional original research may be commissioned as required.</w:t>
      </w:r>
    </w:p>
    <w:p w14:paraId="2F21D3D2" w14:textId="1680BE7F" w:rsidR="009B2334" w:rsidRPr="00F52232" w:rsidRDefault="009B2334" w:rsidP="009B2334">
      <w:pPr>
        <w:spacing w:before="100" w:beforeAutospacing="1" w:after="100" w:afterAutospacing="1" w:line="300" w:lineRule="atLeast"/>
        <w:rPr>
          <w:rFonts w:ascii="Segoe UI" w:eastAsia="Times New Roman" w:hAnsi="Segoe UI" w:cs="Segoe UI"/>
          <w:kern w:val="0"/>
          <w:sz w:val="21"/>
          <w:szCs w:val="21"/>
          <w:lang w:val="en-GB"/>
          <w14:ligatures w14:val="none"/>
        </w:rPr>
      </w:pPr>
    </w:p>
    <w:p w14:paraId="6D767EC5" w14:textId="77777777" w:rsidR="00E92CE6" w:rsidRDefault="00E92CE6"/>
    <w:sectPr w:rsidR="00E92CE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61522" w14:textId="77777777" w:rsidR="00B53229" w:rsidRDefault="00B53229" w:rsidP="001C23C3">
      <w:pPr>
        <w:spacing w:after="0" w:line="240" w:lineRule="auto"/>
      </w:pPr>
      <w:r>
        <w:separator/>
      </w:r>
    </w:p>
  </w:endnote>
  <w:endnote w:type="continuationSeparator" w:id="0">
    <w:p w14:paraId="121DEF0F" w14:textId="77777777" w:rsidR="00B53229" w:rsidRDefault="00B53229" w:rsidP="001C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3536985"/>
      <w:docPartObj>
        <w:docPartGallery w:val="Page Numbers (Bottom of Page)"/>
        <w:docPartUnique/>
      </w:docPartObj>
    </w:sdtPr>
    <w:sdtContent>
      <w:p w14:paraId="27013DAA" w14:textId="313C3B1B" w:rsidR="00F52232" w:rsidRDefault="00F52232" w:rsidP="00C87D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C10C4A" w14:textId="77777777" w:rsidR="00F52232" w:rsidRDefault="00F52232" w:rsidP="00F522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3543216"/>
      <w:docPartObj>
        <w:docPartGallery w:val="Page Numbers (Bottom of Page)"/>
        <w:docPartUnique/>
      </w:docPartObj>
    </w:sdtPr>
    <w:sdtContent>
      <w:p w14:paraId="7773AED6" w14:textId="268E9B81" w:rsidR="00F52232" w:rsidRDefault="00F52232" w:rsidP="00C87D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FFB5188" w14:textId="77777777" w:rsidR="00F52232" w:rsidRDefault="00F52232" w:rsidP="00F522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1B95FC" w14:textId="77777777" w:rsidR="00B53229" w:rsidRDefault="00B53229" w:rsidP="001C23C3">
      <w:pPr>
        <w:spacing w:after="0" w:line="240" w:lineRule="auto"/>
      </w:pPr>
      <w:r>
        <w:separator/>
      </w:r>
    </w:p>
  </w:footnote>
  <w:footnote w:type="continuationSeparator" w:id="0">
    <w:p w14:paraId="13CA0EF3" w14:textId="77777777" w:rsidR="00B53229" w:rsidRDefault="00B53229" w:rsidP="001C23C3">
      <w:pPr>
        <w:spacing w:after="0" w:line="240" w:lineRule="auto"/>
      </w:pPr>
      <w:r>
        <w:continuationSeparator/>
      </w:r>
    </w:p>
  </w:footnote>
  <w:footnote w:id="1">
    <w:p w14:paraId="28A287C5" w14:textId="4E40913E" w:rsidR="001C23C3" w:rsidRPr="001C23C3" w:rsidRDefault="001C23C3">
      <w:pPr>
        <w:pStyle w:val="FootnoteText"/>
        <w:rPr>
          <w:rFonts w:ascii="Segoe UI" w:hAnsi="Segoe UI" w:cs="Segoe UI"/>
          <w:sz w:val="16"/>
          <w:szCs w:val="16"/>
          <w:lang w:val="en-GB"/>
        </w:rPr>
      </w:pPr>
      <w:r w:rsidRPr="001C23C3">
        <w:rPr>
          <w:rStyle w:val="FootnoteReference"/>
          <w:rFonts w:ascii="Segoe UI" w:hAnsi="Segoe UI" w:cs="Segoe UI"/>
          <w:sz w:val="16"/>
          <w:szCs w:val="16"/>
        </w:rPr>
        <w:footnoteRef/>
      </w:r>
      <w:r w:rsidRPr="001C23C3">
        <w:rPr>
          <w:rFonts w:ascii="Segoe UI" w:hAnsi="Segoe UI" w:cs="Segoe UI"/>
          <w:sz w:val="16"/>
          <w:szCs w:val="16"/>
        </w:rPr>
        <w:t xml:space="preserve"> </w:t>
      </w:r>
      <w:hyperlink r:id="rId1" w:tgtFrame="_blank" w:history="1">
        <w:r w:rsidRPr="001C23C3">
          <w:rPr>
            <w:rStyle w:val="Hyperlink"/>
            <w:rFonts w:ascii="Segoe UI" w:hAnsi="Segoe UI" w:cs="Segoe UI"/>
            <w:sz w:val="16"/>
            <w:szCs w:val="16"/>
            <w:lang w:val="en-GB"/>
          </w:rPr>
          <w:t>https://www.who.int/groups/who-faith-network</w:t>
        </w:r>
      </w:hyperlink>
    </w:p>
  </w:footnote>
  <w:footnote w:id="2">
    <w:p w14:paraId="576FBA6E" w14:textId="3C40E519" w:rsidR="001C23C3" w:rsidRPr="001C23C3" w:rsidRDefault="001C23C3">
      <w:pPr>
        <w:pStyle w:val="FootnoteText"/>
        <w:rPr>
          <w:rFonts w:ascii="Segoe UI" w:hAnsi="Segoe UI" w:cs="Segoe UI"/>
          <w:sz w:val="16"/>
          <w:szCs w:val="16"/>
          <w:lang w:val="en-GB"/>
        </w:rPr>
      </w:pPr>
      <w:r w:rsidRPr="001C23C3">
        <w:rPr>
          <w:rStyle w:val="FootnoteReference"/>
          <w:rFonts w:ascii="Segoe UI" w:hAnsi="Segoe UI" w:cs="Segoe UI"/>
          <w:sz w:val="16"/>
          <w:szCs w:val="16"/>
        </w:rPr>
        <w:footnoteRef/>
      </w:r>
      <w:r w:rsidRPr="001C23C3">
        <w:rPr>
          <w:rFonts w:ascii="Segoe UI" w:hAnsi="Segoe UI" w:cs="Segoe UI"/>
          <w:sz w:val="16"/>
          <w:szCs w:val="16"/>
        </w:rPr>
        <w:t xml:space="preserve"> </w:t>
      </w:r>
      <w:hyperlink r:id="rId2" w:tgtFrame="_blank" w:history="1">
        <w:r w:rsidRPr="001C23C3">
          <w:rPr>
            <w:rStyle w:val="Hyperlink"/>
            <w:rFonts w:ascii="Segoe UI" w:hAnsi="Segoe UI" w:cs="Segoe UI"/>
            <w:sz w:val="16"/>
            <w:szCs w:val="16"/>
            <w:lang w:val="en-GB"/>
          </w:rPr>
          <w:t>https://www.who.int/publications/i/item/9789240037205</w:t>
        </w:r>
      </w:hyperlink>
      <w:r w:rsidRPr="001C23C3">
        <w:rPr>
          <w:rFonts w:ascii="Segoe UI" w:hAnsi="Segoe UI" w:cs="Segoe UI"/>
          <w:sz w:val="16"/>
          <w:szCs w:val="16"/>
          <w:lang w:val="en-GB"/>
        </w:rPr>
        <w:t> </w:t>
      </w:r>
      <w:r w:rsidRPr="001C23C3">
        <w:rPr>
          <w:rFonts w:ascii="Segoe UI" w:hAnsi="Segoe UI" w:cs="Segoe UI"/>
          <w:sz w:val="16"/>
          <w:szCs w:val="16"/>
        </w:rPr>
        <w:t> </w:t>
      </w:r>
    </w:p>
  </w:footnote>
  <w:footnote w:id="3">
    <w:p w14:paraId="3770388F" w14:textId="61794ED1" w:rsidR="001C23C3" w:rsidRPr="001C23C3" w:rsidRDefault="001C23C3">
      <w:pPr>
        <w:pStyle w:val="FootnoteText"/>
        <w:rPr>
          <w:rFonts w:ascii="Segoe UI" w:hAnsi="Segoe UI" w:cs="Segoe UI"/>
          <w:sz w:val="16"/>
          <w:szCs w:val="16"/>
          <w:lang w:val="en-GB"/>
        </w:rPr>
      </w:pPr>
      <w:r w:rsidRPr="001C23C3">
        <w:rPr>
          <w:rStyle w:val="FootnoteReference"/>
          <w:rFonts w:ascii="Segoe UI" w:hAnsi="Segoe UI" w:cs="Segoe UI"/>
          <w:sz w:val="16"/>
          <w:szCs w:val="16"/>
        </w:rPr>
        <w:footnoteRef/>
      </w:r>
      <w:r w:rsidRPr="001C23C3">
        <w:rPr>
          <w:rFonts w:ascii="Segoe UI" w:hAnsi="Segoe UI" w:cs="Segoe UI"/>
          <w:sz w:val="16"/>
          <w:szCs w:val="16"/>
        </w:rPr>
        <w:t xml:space="preserve"> </w:t>
      </w:r>
      <w:hyperlink r:id="rId3" w:tgtFrame="_blank" w:history="1">
        <w:r w:rsidRPr="001C23C3">
          <w:rPr>
            <w:rStyle w:val="Hyperlink"/>
            <w:rFonts w:ascii="Segoe UI" w:hAnsi="Segoe UI" w:cs="Segoe UI"/>
            <w:sz w:val="16"/>
            <w:szCs w:val="16"/>
            <w:lang w:val="en-GB"/>
          </w:rPr>
          <w:t>https://www.who.int/news-room/events/detail/2021/10/20/default-calendar/who-and-religions-for-peace-global-conference-on-strengthening-national-responses-to-health-emergencies</w:t>
        </w:r>
      </w:hyperlink>
      <w:r w:rsidRPr="001C23C3">
        <w:rPr>
          <w:rFonts w:ascii="Segoe UI" w:hAnsi="Segoe UI" w:cs="Segoe UI"/>
          <w:sz w:val="16"/>
          <w:szCs w:val="16"/>
          <w:lang w:val="en-GB"/>
        </w:rPr>
        <w:t> </w:t>
      </w:r>
    </w:p>
  </w:footnote>
  <w:footnote w:id="4">
    <w:p w14:paraId="45EE58E4" w14:textId="1492B6A6" w:rsidR="001C23C3" w:rsidRPr="001C23C3" w:rsidRDefault="001C23C3">
      <w:pPr>
        <w:pStyle w:val="FootnoteText"/>
        <w:rPr>
          <w:lang w:val="en-GB"/>
        </w:rPr>
      </w:pPr>
      <w:r w:rsidRPr="001C23C3">
        <w:rPr>
          <w:rStyle w:val="FootnoteReference"/>
          <w:rFonts w:ascii="Segoe UI" w:hAnsi="Segoe UI" w:cs="Segoe UI"/>
          <w:sz w:val="16"/>
          <w:szCs w:val="16"/>
        </w:rPr>
        <w:footnoteRef/>
      </w:r>
      <w:r w:rsidRPr="001C23C3">
        <w:rPr>
          <w:rFonts w:ascii="Segoe UI" w:hAnsi="Segoe UI" w:cs="Segoe UI"/>
          <w:sz w:val="16"/>
          <w:szCs w:val="16"/>
        </w:rPr>
        <w:t xml:space="preserve"> </w:t>
      </w:r>
      <w:hyperlink r:id="rId4" w:tgtFrame="_blank" w:history="1">
        <w:r w:rsidRPr="001C23C3">
          <w:rPr>
            <w:rStyle w:val="Hyperlink"/>
            <w:rFonts w:ascii="Segoe UI" w:hAnsi="Segoe UI" w:cs="Segoe UI"/>
            <w:sz w:val="16"/>
            <w:szCs w:val="16"/>
            <w:lang w:val="en-GB"/>
          </w:rPr>
          <w:t>https://www.thelancet.com/series-do/faith-based-health-care</w:t>
        </w:r>
      </w:hyperlink>
      <w:r w:rsidRPr="001C23C3">
        <w:rPr>
          <w:lang w:val="en-GB"/>
        </w:rPr>
        <w:t> </w:t>
      </w:r>
    </w:p>
  </w:footnote>
  <w:footnote w:id="5">
    <w:p w14:paraId="61731AED" w14:textId="5CB94FC9" w:rsidR="001C23C3" w:rsidRPr="001C23C3" w:rsidRDefault="001C23C3">
      <w:pPr>
        <w:pStyle w:val="FootnoteText"/>
        <w:rPr>
          <w:rFonts w:ascii="Segoe UI" w:hAnsi="Segoe UI" w:cs="Segoe UI"/>
          <w:sz w:val="16"/>
          <w:szCs w:val="16"/>
          <w:lang w:val="en-GB"/>
        </w:rPr>
      </w:pPr>
      <w:r>
        <w:rPr>
          <w:rStyle w:val="FootnoteReference"/>
        </w:rPr>
        <w:footnoteRef/>
      </w:r>
      <w:r>
        <w:t xml:space="preserve"> </w:t>
      </w:r>
      <w:hyperlink r:id="rId5" w:tgtFrame="_blank" w:history="1">
        <w:r w:rsidRPr="001C23C3">
          <w:rPr>
            <w:rStyle w:val="Hyperlink"/>
            <w:rFonts w:ascii="Segoe UI" w:hAnsi="Segoe UI" w:cs="Segoe UI"/>
            <w:sz w:val="16"/>
            <w:szCs w:val="16"/>
            <w:lang w:val="en-GB"/>
          </w:rPr>
          <w:t>https://www.who.int/publications-detail-redirect/declaration-of-alma-ata</w:t>
        </w:r>
      </w:hyperlink>
      <w:r w:rsidRPr="001C23C3">
        <w:rPr>
          <w:rFonts w:ascii="Segoe UI" w:hAnsi="Segoe UI" w:cs="Segoe UI"/>
          <w:sz w:val="16"/>
          <w:szCs w:val="16"/>
          <w:lang w:val="en-GB"/>
        </w:rPr>
        <w:t> </w:t>
      </w:r>
    </w:p>
  </w:footnote>
  <w:footnote w:id="6">
    <w:p w14:paraId="7804B708" w14:textId="757738B1" w:rsidR="001C23C3" w:rsidRPr="001C23C3" w:rsidRDefault="001C23C3">
      <w:pPr>
        <w:pStyle w:val="FootnoteText"/>
        <w:rPr>
          <w:lang w:val="en-GB"/>
        </w:rPr>
      </w:pPr>
      <w:r w:rsidRPr="001C23C3">
        <w:rPr>
          <w:rStyle w:val="FootnoteReference"/>
          <w:rFonts w:ascii="Segoe UI" w:hAnsi="Segoe UI" w:cs="Segoe UI"/>
          <w:sz w:val="16"/>
          <w:szCs w:val="16"/>
        </w:rPr>
        <w:footnoteRef/>
      </w:r>
      <w:r w:rsidRPr="001C23C3">
        <w:rPr>
          <w:rFonts w:ascii="Segoe UI" w:hAnsi="Segoe UI" w:cs="Segoe UI"/>
          <w:sz w:val="16"/>
          <w:szCs w:val="16"/>
        </w:rPr>
        <w:t xml:space="preserve"> </w:t>
      </w:r>
      <w:r w:rsidRPr="001C23C3">
        <w:rPr>
          <w:rFonts w:ascii="Segoe UI" w:hAnsi="Segoe UI" w:cs="Segoe UI"/>
          <w:sz w:val="16"/>
          <w:szCs w:val="16"/>
          <w:lang w:val="en-GB"/>
        </w:rPr>
        <w:t xml:space="preserve">Hess S, Smith S, Umachandran S. Faith as a complex system: engaging with the faith sector for strengthened health emergency preparedness and response. </w:t>
      </w:r>
      <w:r w:rsidRPr="001C23C3">
        <w:rPr>
          <w:rFonts w:ascii="Segoe UI" w:hAnsi="Segoe UI" w:cs="Segoe UI"/>
          <w:i/>
          <w:iCs/>
          <w:sz w:val="16"/>
          <w:szCs w:val="16"/>
          <w:lang w:val="en-GB"/>
        </w:rPr>
        <w:t>Lancet Glob Health</w:t>
      </w:r>
      <w:r w:rsidRPr="001C23C3">
        <w:rPr>
          <w:rFonts w:ascii="Segoe UI" w:hAnsi="Segoe UI" w:cs="Segoe UI"/>
          <w:sz w:val="16"/>
          <w:szCs w:val="16"/>
          <w:lang w:val="en-GB"/>
        </w:rPr>
        <w:t xml:space="preserve"> 2024; 12: e1750–51. </w:t>
      </w:r>
      <w:hyperlink r:id="rId6" w:tgtFrame="_blank" w:history="1">
        <w:r w:rsidRPr="001C23C3">
          <w:rPr>
            <w:rStyle w:val="Hyperlink"/>
            <w:rFonts w:ascii="Segoe UI" w:hAnsi="Segoe UI" w:cs="Segoe UI"/>
            <w:sz w:val="16"/>
            <w:szCs w:val="16"/>
            <w:lang w:val="en-GB"/>
          </w:rPr>
          <w:t>https://doi.org/10.1016/S2214-109X(24)00317-6</w:t>
        </w:r>
      </w:hyperlink>
      <w:r w:rsidRPr="001C23C3">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613C5"/>
    <w:multiLevelType w:val="multilevel"/>
    <w:tmpl w:val="5330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B1454"/>
    <w:multiLevelType w:val="multilevel"/>
    <w:tmpl w:val="F7FA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95B1C"/>
    <w:multiLevelType w:val="multilevel"/>
    <w:tmpl w:val="F8C6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C2054"/>
    <w:multiLevelType w:val="multilevel"/>
    <w:tmpl w:val="DA8C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14288"/>
    <w:multiLevelType w:val="multilevel"/>
    <w:tmpl w:val="3378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D0553F"/>
    <w:multiLevelType w:val="multilevel"/>
    <w:tmpl w:val="4BDE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6F4B2A"/>
    <w:multiLevelType w:val="multilevel"/>
    <w:tmpl w:val="B620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084FDF"/>
    <w:multiLevelType w:val="multilevel"/>
    <w:tmpl w:val="D5D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0464EA"/>
    <w:multiLevelType w:val="multilevel"/>
    <w:tmpl w:val="83A6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34BB6"/>
    <w:multiLevelType w:val="multilevel"/>
    <w:tmpl w:val="ABE4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3136363">
    <w:abstractNumId w:val="0"/>
  </w:num>
  <w:num w:numId="2" w16cid:durableId="1967806988">
    <w:abstractNumId w:val="7"/>
  </w:num>
  <w:num w:numId="3" w16cid:durableId="1547328338">
    <w:abstractNumId w:val="6"/>
  </w:num>
  <w:num w:numId="4" w16cid:durableId="652636994">
    <w:abstractNumId w:val="3"/>
  </w:num>
  <w:num w:numId="5" w16cid:durableId="1373462166">
    <w:abstractNumId w:val="1"/>
  </w:num>
  <w:num w:numId="6" w16cid:durableId="1389644480">
    <w:abstractNumId w:val="9"/>
  </w:num>
  <w:num w:numId="7" w16cid:durableId="1804427685">
    <w:abstractNumId w:val="8"/>
  </w:num>
  <w:num w:numId="8" w16cid:durableId="1457093637">
    <w:abstractNumId w:val="5"/>
  </w:num>
  <w:num w:numId="9" w16cid:durableId="448547355">
    <w:abstractNumId w:val="2"/>
  </w:num>
  <w:num w:numId="10" w16cid:durableId="66285986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34"/>
    <w:rsid w:val="00026F1E"/>
    <w:rsid w:val="00081C9B"/>
    <w:rsid w:val="00110A52"/>
    <w:rsid w:val="00117C77"/>
    <w:rsid w:val="00197B70"/>
    <w:rsid w:val="001B2AE3"/>
    <w:rsid w:val="001C23C3"/>
    <w:rsid w:val="0023687E"/>
    <w:rsid w:val="00266F40"/>
    <w:rsid w:val="002D7E9B"/>
    <w:rsid w:val="003B54BB"/>
    <w:rsid w:val="00453114"/>
    <w:rsid w:val="00454F90"/>
    <w:rsid w:val="004A6CD1"/>
    <w:rsid w:val="00585DCA"/>
    <w:rsid w:val="00597A14"/>
    <w:rsid w:val="005A45E8"/>
    <w:rsid w:val="006612E3"/>
    <w:rsid w:val="006B679D"/>
    <w:rsid w:val="007004BD"/>
    <w:rsid w:val="00706AF1"/>
    <w:rsid w:val="00716681"/>
    <w:rsid w:val="0076597F"/>
    <w:rsid w:val="00784955"/>
    <w:rsid w:val="007A7A20"/>
    <w:rsid w:val="007C587D"/>
    <w:rsid w:val="007E3DE4"/>
    <w:rsid w:val="007F692D"/>
    <w:rsid w:val="00885470"/>
    <w:rsid w:val="008946D9"/>
    <w:rsid w:val="008B4D39"/>
    <w:rsid w:val="009B2334"/>
    <w:rsid w:val="009D119B"/>
    <w:rsid w:val="009D436B"/>
    <w:rsid w:val="00A35D64"/>
    <w:rsid w:val="00A8107F"/>
    <w:rsid w:val="00A91E29"/>
    <w:rsid w:val="00AE0200"/>
    <w:rsid w:val="00B53229"/>
    <w:rsid w:val="00B66ABA"/>
    <w:rsid w:val="00B96AB8"/>
    <w:rsid w:val="00BE02D1"/>
    <w:rsid w:val="00BF4850"/>
    <w:rsid w:val="00C63430"/>
    <w:rsid w:val="00C93221"/>
    <w:rsid w:val="00CC1D3F"/>
    <w:rsid w:val="00CD1775"/>
    <w:rsid w:val="00CD1D1B"/>
    <w:rsid w:val="00CD4E9A"/>
    <w:rsid w:val="00CE68D9"/>
    <w:rsid w:val="00CF16D2"/>
    <w:rsid w:val="00D169DE"/>
    <w:rsid w:val="00D235CD"/>
    <w:rsid w:val="00D331F8"/>
    <w:rsid w:val="00D7488A"/>
    <w:rsid w:val="00E43E4C"/>
    <w:rsid w:val="00E71B3C"/>
    <w:rsid w:val="00E77030"/>
    <w:rsid w:val="00E92CE6"/>
    <w:rsid w:val="00EC1C66"/>
    <w:rsid w:val="00EC332D"/>
    <w:rsid w:val="00EC4A01"/>
    <w:rsid w:val="00EE3AEF"/>
    <w:rsid w:val="00F40B8F"/>
    <w:rsid w:val="00F52232"/>
    <w:rsid w:val="00F72067"/>
    <w:rsid w:val="00FA5FED"/>
    <w:rsid w:val="00FD24B8"/>
    <w:rsid w:val="00FD50E7"/>
    <w:rsid w:val="00FF4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5C179B2"/>
  <w15:chartTrackingRefBased/>
  <w15:docId w15:val="{6CA5F6C4-F435-4D85-A0BE-E93CF7C3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232"/>
  </w:style>
  <w:style w:type="paragraph" w:styleId="Heading1">
    <w:name w:val="heading 1"/>
    <w:basedOn w:val="Normal"/>
    <w:next w:val="Normal"/>
    <w:link w:val="Heading1Char"/>
    <w:uiPriority w:val="9"/>
    <w:qFormat/>
    <w:rsid w:val="009B2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334"/>
    <w:rPr>
      <w:rFonts w:eastAsiaTheme="majorEastAsia" w:cstheme="majorBidi"/>
      <w:color w:val="272727" w:themeColor="text1" w:themeTint="D8"/>
    </w:rPr>
  </w:style>
  <w:style w:type="paragraph" w:styleId="Title">
    <w:name w:val="Title"/>
    <w:basedOn w:val="Normal"/>
    <w:next w:val="Normal"/>
    <w:link w:val="TitleChar"/>
    <w:uiPriority w:val="10"/>
    <w:qFormat/>
    <w:rsid w:val="009B2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334"/>
    <w:pPr>
      <w:spacing w:before="160"/>
      <w:jc w:val="center"/>
    </w:pPr>
    <w:rPr>
      <w:i/>
      <w:iCs/>
      <w:color w:val="404040" w:themeColor="text1" w:themeTint="BF"/>
    </w:rPr>
  </w:style>
  <w:style w:type="character" w:customStyle="1" w:styleId="QuoteChar">
    <w:name w:val="Quote Char"/>
    <w:basedOn w:val="DefaultParagraphFont"/>
    <w:link w:val="Quote"/>
    <w:uiPriority w:val="29"/>
    <w:rsid w:val="009B2334"/>
    <w:rPr>
      <w:i/>
      <w:iCs/>
      <w:color w:val="404040" w:themeColor="text1" w:themeTint="BF"/>
    </w:rPr>
  </w:style>
  <w:style w:type="paragraph" w:styleId="ListParagraph">
    <w:name w:val="List Paragraph"/>
    <w:basedOn w:val="Normal"/>
    <w:uiPriority w:val="34"/>
    <w:qFormat/>
    <w:rsid w:val="009B2334"/>
    <w:pPr>
      <w:ind w:left="720"/>
      <w:contextualSpacing/>
    </w:pPr>
  </w:style>
  <w:style w:type="character" w:styleId="IntenseEmphasis">
    <w:name w:val="Intense Emphasis"/>
    <w:basedOn w:val="DefaultParagraphFont"/>
    <w:uiPriority w:val="21"/>
    <w:qFormat/>
    <w:rsid w:val="009B2334"/>
    <w:rPr>
      <w:i/>
      <w:iCs/>
      <w:color w:val="0F4761" w:themeColor="accent1" w:themeShade="BF"/>
    </w:rPr>
  </w:style>
  <w:style w:type="paragraph" w:styleId="IntenseQuote">
    <w:name w:val="Intense Quote"/>
    <w:basedOn w:val="Normal"/>
    <w:next w:val="Normal"/>
    <w:link w:val="IntenseQuoteChar"/>
    <w:uiPriority w:val="30"/>
    <w:qFormat/>
    <w:rsid w:val="009B2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334"/>
    <w:rPr>
      <w:i/>
      <w:iCs/>
      <w:color w:val="0F4761" w:themeColor="accent1" w:themeShade="BF"/>
    </w:rPr>
  </w:style>
  <w:style w:type="character" w:styleId="IntenseReference">
    <w:name w:val="Intense Reference"/>
    <w:basedOn w:val="DefaultParagraphFont"/>
    <w:uiPriority w:val="32"/>
    <w:qFormat/>
    <w:rsid w:val="009B2334"/>
    <w:rPr>
      <w:b/>
      <w:bCs/>
      <w:smallCaps/>
      <w:color w:val="0F4761" w:themeColor="accent1" w:themeShade="BF"/>
      <w:spacing w:val="5"/>
    </w:rPr>
  </w:style>
  <w:style w:type="paragraph" w:styleId="Revision">
    <w:name w:val="Revision"/>
    <w:hidden/>
    <w:uiPriority w:val="99"/>
    <w:semiHidden/>
    <w:rsid w:val="00197B70"/>
    <w:pPr>
      <w:spacing w:after="0" w:line="240" w:lineRule="auto"/>
    </w:pPr>
  </w:style>
  <w:style w:type="character" w:styleId="CommentReference">
    <w:name w:val="annotation reference"/>
    <w:basedOn w:val="DefaultParagraphFont"/>
    <w:uiPriority w:val="99"/>
    <w:semiHidden/>
    <w:unhideWhenUsed/>
    <w:rsid w:val="00597A14"/>
    <w:rPr>
      <w:sz w:val="16"/>
      <w:szCs w:val="16"/>
    </w:rPr>
  </w:style>
  <w:style w:type="paragraph" w:styleId="CommentText">
    <w:name w:val="annotation text"/>
    <w:basedOn w:val="Normal"/>
    <w:link w:val="CommentTextChar"/>
    <w:uiPriority w:val="99"/>
    <w:unhideWhenUsed/>
    <w:rsid w:val="00597A14"/>
    <w:pPr>
      <w:spacing w:line="240" w:lineRule="auto"/>
    </w:pPr>
    <w:rPr>
      <w:sz w:val="20"/>
      <w:szCs w:val="20"/>
    </w:rPr>
  </w:style>
  <w:style w:type="character" w:customStyle="1" w:styleId="CommentTextChar">
    <w:name w:val="Comment Text Char"/>
    <w:basedOn w:val="DefaultParagraphFont"/>
    <w:link w:val="CommentText"/>
    <w:uiPriority w:val="99"/>
    <w:rsid w:val="00597A14"/>
    <w:rPr>
      <w:sz w:val="20"/>
      <w:szCs w:val="20"/>
    </w:rPr>
  </w:style>
  <w:style w:type="paragraph" w:styleId="CommentSubject">
    <w:name w:val="annotation subject"/>
    <w:basedOn w:val="CommentText"/>
    <w:next w:val="CommentText"/>
    <w:link w:val="CommentSubjectChar"/>
    <w:uiPriority w:val="99"/>
    <w:semiHidden/>
    <w:unhideWhenUsed/>
    <w:rsid w:val="00597A14"/>
    <w:rPr>
      <w:b/>
      <w:bCs/>
    </w:rPr>
  </w:style>
  <w:style w:type="character" w:customStyle="1" w:styleId="CommentSubjectChar">
    <w:name w:val="Comment Subject Char"/>
    <w:basedOn w:val="CommentTextChar"/>
    <w:link w:val="CommentSubject"/>
    <w:uiPriority w:val="99"/>
    <w:semiHidden/>
    <w:rsid w:val="00597A14"/>
    <w:rPr>
      <w:b/>
      <w:bCs/>
      <w:sz w:val="20"/>
      <w:szCs w:val="20"/>
    </w:rPr>
  </w:style>
  <w:style w:type="paragraph" w:styleId="FootnoteText">
    <w:name w:val="footnote text"/>
    <w:basedOn w:val="Normal"/>
    <w:link w:val="FootnoteTextChar"/>
    <w:uiPriority w:val="99"/>
    <w:semiHidden/>
    <w:unhideWhenUsed/>
    <w:rsid w:val="001C23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23C3"/>
    <w:rPr>
      <w:sz w:val="20"/>
      <w:szCs w:val="20"/>
    </w:rPr>
  </w:style>
  <w:style w:type="character" w:styleId="FootnoteReference">
    <w:name w:val="footnote reference"/>
    <w:basedOn w:val="DefaultParagraphFont"/>
    <w:uiPriority w:val="99"/>
    <w:semiHidden/>
    <w:unhideWhenUsed/>
    <w:rsid w:val="001C23C3"/>
    <w:rPr>
      <w:vertAlign w:val="superscript"/>
    </w:rPr>
  </w:style>
  <w:style w:type="character" w:styleId="Hyperlink">
    <w:name w:val="Hyperlink"/>
    <w:basedOn w:val="DefaultParagraphFont"/>
    <w:uiPriority w:val="99"/>
    <w:unhideWhenUsed/>
    <w:rsid w:val="001C23C3"/>
    <w:rPr>
      <w:color w:val="467886" w:themeColor="hyperlink"/>
      <w:u w:val="single"/>
    </w:rPr>
  </w:style>
  <w:style w:type="character" w:styleId="UnresolvedMention">
    <w:name w:val="Unresolved Mention"/>
    <w:basedOn w:val="DefaultParagraphFont"/>
    <w:uiPriority w:val="99"/>
    <w:semiHidden/>
    <w:unhideWhenUsed/>
    <w:rsid w:val="001C23C3"/>
    <w:rPr>
      <w:color w:val="605E5C"/>
      <w:shd w:val="clear" w:color="auto" w:fill="E1DFDD"/>
    </w:rPr>
  </w:style>
  <w:style w:type="character" w:styleId="FollowedHyperlink">
    <w:name w:val="FollowedHyperlink"/>
    <w:basedOn w:val="DefaultParagraphFont"/>
    <w:uiPriority w:val="99"/>
    <w:semiHidden/>
    <w:unhideWhenUsed/>
    <w:rsid w:val="00F52232"/>
    <w:rPr>
      <w:color w:val="96607D" w:themeColor="followedHyperlink"/>
      <w:u w:val="single"/>
    </w:rPr>
  </w:style>
  <w:style w:type="paragraph" w:styleId="Footer">
    <w:name w:val="footer"/>
    <w:basedOn w:val="Normal"/>
    <w:link w:val="FooterChar"/>
    <w:uiPriority w:val="99"/>
    <w:unhideWhenUsed/>
    <w:rsid w:val="00F52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232"/>
  </w:style>
  <w:style w:type="character" w:styleId="PageNumber">
    <w:name w:val="page number"/>
    <w:basedOn w:val="DefaultParagraphFont"/>
    <w:uiPriority w:val="99"/>
    <w:semiHidden/>
    <w:unhideWhenUsed/>
    <w:rsid w:val="00F52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news-room/events/detail/2021/10/20/default-calendar/who-and-religions-for-peace-global-conference-on-strengthening-national-responses-to-health-emergencies" TargetMode="External"/><Relationship Id="rId2" Type="http://schemas.openxmlformats.org/officeDocument/2006/relationships/hyperlink" Target="https://www.who.int/publications/i/item/9789240037205" TargetMode="External"/><Relationship Id="rId1" Type="http://schemas.openxmlformats.org/officeDocument/2006/relationships/hyperlink" Target="https://www.who.int/groups/who-faith-network" TargetMode="External"/><Relationship Id="rId6" Type="http://schemas.openxmlformats.org/officeDocument/2006/relationships/hyperlink" Target="https://doi.org/10.1016/S2214-109X(24)00317-6" TargetMode="External"/><Relationship Id="rId5" Type="http://schemas.openxmlformats.org/officeDocument/2006/relationships/hyperlink" Target="https://www.who.int/publications-detail-redirect/declaration-of-alma-ata" TargetMode="External"/><Relationship Id="rId4" Type="http://schemas.openxmlformats.org/officeDocument/2006/relationships/hyperlink" Target="https://www.thelancet.com/series-do/faith-based-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D5484-34FA-4CD6-83A2-E7158F94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2387</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15968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HOLDERNESS, Sarah</dc:creator>
  <cp:keywords/>
  <dc:description/>
  <cp:lastModifiedBy>Emma Tomalin</cp:lastModifiedBy>
  <cp:revision>2</cp:revision>
  <dcterms:created xsi:type="dcterms:W3CDTF">2026-09-25T09:33:00Z</dcterms:created>
  <dcterms:modified xsi:type="dcterms:W3CDTF">2026-09-25T09:33:00Z</dcterms:modified>
</cp:coreProperties>
</file>